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48C1D" w14:textId="10493DAE" w:rsidR="00FE4311" w:rsidRPr="006B241E" w:rsidRDefault="00FE4311" w:rsidP="00FE4311">
      <w:pPr>
        <w:spacing w:after="0" w:line="240" w:lineRule="auto"/>
        <w:jc w:val="both"/>
        <w:rPr>
          <w:rFonts w:ascii="Cambria" w:eastAsia="Arial" w:hAnsi="Cambria" w:cs="Arial"/>
          <w:b/>
          <w:sz w:val="32"/>
          <w:szCs w:val="32"/>
          <w:lang w:val="en-US"/>
        </w:rPr>
      </w:pPr>
      <w:r>
        <w:rPr>
          <w:rFonts w:ascii="Cambria" w:eastAsia="Arial" w:hAnsi="Cambria" w:cs="Arial"/>
          <w:b/>
          <w:sz w:val="32"/>
          <w:szCs w:val="32"/>
        </w:rPr>
        <w:br/>
      </w:r>
      <w:r w:rsidR="001046D8" w:rsidRPr="001046D8">
        <w:rPr>
          <w:rFonts w:ascii="Cambria" w:eastAsia="Arial" w:hAnsi="Cambria" w:cs="Arial"/>
          <w:b/>
          <w:sz w:val="32"/>
          <w:szCs w:val="32"/>
        </w:rPr>
        <w:t>Transforming the Role of Teachers Through Foreign Curricula: Positive Impact on the Quality of Global Students</w:t>
      </w:r>
    </w:p>
    <w:p w14:paraId="5BD60177" w14:textId="5E442DAB" w:rsidR="00B861B9" w:rsidRPr="00FE4311" w:rsidRDefault="003F7B03" w:rsidP="0073552C">
      <w:pPr>
        <w:spacing w:after="0" w:line="240" w:lineRule="auto"/>
        <w:rPr>
          <w:rFonts w:ascii="Cambria" w:eastAsia="Cambria" w:hAnsi="Cambria" w:cs="Cambria"/>
          <w:color w:val="000000"/>
          <w:kern w:val="2"/>
          <w:sz w:val="24"/>
          <w:szCs w:val="24"/>
          <w:lang w:val="pt-PT"/>
        </w:rPr>
      </w:pPr>
      <w:r w:rsidRPr="003F7B03">
        <w:rPr>
          <w:rFonts w:ascii="Cambria" w:eastAsia="Cambria" w:hAnsi="Cambria" w:cs="Cambria"/>
          <w:color w:val="000000"/>
          <w:kern w:val="2"/>
          <w:sz w:val="24"/>
          <w:szCs w:val="24"/>
        </w:rPr>
        <w:t>Ephipanias Sembiring</w:t>
      </w:r>
      <w:r w:rsidRPr="003F7B03">
        <w:rPr>
          <w:rFonts w:ascii="Cambria" w:eastAsia="Cambria" w:hAnsi="Cambria" w:cs="Cambria"/>
          <w:color w:val="000000"/>
          <w:kern w:val="2"/>
          <w:sz w:val="24"/>
          <w:szCs w:val="24"/>
          <w:vertAlign w:val="superscript"/>
        </w:rPr>
        <w:t>1</w:t>
      </w:r>
      <w:r w:rsidRPr="003F7B03">
        <w:rPr>
          <w:rFonts w:ascii="Cambria" w:eastAsia="Cambria" w:hAnsi="Cambria" w:cs="Cambria"/>
          <w:color w:val="000000"/>
          <w:kern w:val="2"/>
          <w:sz w:val="24"/>
          <w:szCs w:val="24"/>
        </w:rPr>
        <w:t>, Theresia Honey Br.Sinaga</w:t>
      </w:r>
      <w:r w:rsidRPr="003F7B03">
        <w:rPr>
          <w:rFonts w:ascii="Cambria" w:eastAsia="Cambria" w:hAnsi="Cambria" w:cs="Cambria"/>
          <w:color w:val="000000"/>
          <w:kern w:val="2"/>
          <w:sz w:val="24"/>
          <w:szCs w:val="24"/>
          <w:vertAlign w:val="superscript"/>
        </w:rPr>
        <w:t>2</w:t>
      </w:r>
      <w:r w:rsidRPr="003F7B03">
        <w:rPr>
          <w:rFonts w:ascii="Cambria" w:eastAsia="Cambria" w:hAnsi="Cambria" w:cs="Cambria"/>
          <w:color w:val="000000"/>
          <w:kern w:val="2"/>
          <w:sz w:val="24"/>
          <w:szCs w:val="24"/>
        </w:rPr>
        <w:t>, Livia Br Sembiring</w:t>
      </w:r>
      <w:r w:rsidRPr="003F7B03">
        <w:rPr>
          <w:rFonts w:ascii="Cambria" w:eastAsia="Cambria" w:hAnsi="Cambria" w:cs="Cambria"/>
          <w:color w:val="000000"/>
          <w:kern w:val="2"/>
          <w:sz w:val="24"/>
          <w:szCs w:val="24"/>
          <w:vertAlign w:val="superscript"/>
        </w:rPr>
        <w:t>3</w:t>
      </w:r>
    </w:p>
    <w:p w14:paraId="4DED2B78" w14:textId="480AF774" w:rsidR="0073552C" w:rsidRPr="00B55702" w:rsidRDefault="0073552C" w:rsidP="0073552C">
      <w:pPr>
        <w:spacing w:after="0" w:line="240" w:lineRule="auto"/>
        <w:rPr>
          <w:vertAlign w:val="superscript"/>
        </w:rPr>
      </w:pPr>
      <w:r w:rsidRPr="007421FA">
        <w:rPr>
          <w:vertAlign w:val="superscript"/>
          <w:lang w:val="pt-PT"/>
        </w:rPr>
        <w:t>1,2</w:t>
      </w:r>
      <w:r>
        <w:rPr>
          <w:vertAlign w:val="superscript"/>
        </w:rPr>
        <w:t>,3</w:t>
      </w:r>
      <w:r>
        <w:rPr>
          <w:rFonts w:ascii="Cambria" w:eastAsia="Cambria" w:hAnsi="Cambria" w:cs="Cambria"/>
          <w:sz w:val="20"/>
          <w:szCs w:val="20"/>
        </w:rPr>
        <w:t xml:space="preserve"> </w:t>
      </w:r>
      <w:r w:rsidRPr="00946698">
        <w:rPr>
          <w:rFonts w:ascii="Cambria" w:eastAsia="Cambria" w:hAnsi="Cambria" w:cs="Cambria"/>
          <w:sz w:val="20"/>
          <w:szCs w:val="20"/>
        </w:rPr>
        <w:t>Universitas Negeri Medan</w:t>
      </w:r>
      <w:r w:rsidR="00B30E92" w:rsidRPr="007421FA">
        <w:rPr>
          <w:rFonts w:ascii="Cambria" w:eastAsia="Cambria" w:hAnsi="Cambria" w:cs="Cambria"/>
          <w:sz w:val="20"/>
          <w:szCs w:val="20"/>
          <w:lang w:val="pt-PT"/>
        </w:rPr>
        <w:t>, Indonesia</w:t>
      </w:r>
      <w:r w:rsidRPr="00946698">
        <w:rPr>
          <w:rFonts w:ascii="Cambria" w:eastAsia="Cambria" w:hAnsi="Cambria" w:cs="Cambria"/>
          <w:sz w:val="20"/>
          <w:szCs w:val="20"/>
        </w:rPr>
        <w:t xml:space="preserve"> </w:t>
      </w:r>
    </w:p>
    <w:p w14:paraId="66BC2E4B" w14:textId="528884B2" w:rsidR="0073552C" w:rsidRPr="00B74703" w:rsidRDefault="00B74703" w:rsidP="00B74703">
      <w:pPr>
        <w:spacing w:after="240" w:line="240" w:lineRule="auto"/>
        <w:rPr>
          <w:rFonts w:ascii="Cambria" w:eastAsia="Cambria" w:hAnsi="Cambria" w:cs="Cambria"/>
          <w:color w:val="000000"/>
          <w:sz w:val="20"/>
          <w:szCs w:val="20"/>
        </w:rPr>
      </w:pPr>
      <w:r w:rsidRPr="00B74703">
        <w:rPr>
          <w:rFonts w:ascii="Cambria" w:eastAsia="Cambria" w:hAnsi="Cambria" w:cs="Cambria"/>
          <w:sz w:val="20"/>
          <w:szCs w:val="20"/>
        </w:rPr>
        <w:t>Correspondence</w:t>
      </w:r>
      <w:r w:rsidR="0073552C" w:rsidRPr="00746B99">
        <w:rPr>
          <w:rFonts w:ascii="Cambria" w:eastAsia="Cambria" w:hAnsi="Cambria" w:cs="Cambria"/>
          <w:sz w:val="20"/>
          <w:szCs w:val="20"/>
        </w:rPr>
        <w:t xml:space="preserve">: </w:t>
      </w:r>
      <w:r w:rsidR="00354ED3" w:rsidRPr="00354ED3">
        <w:rPr>
          <w:rStyle w:val="Hyperlink"/>
          <w:rFonts w:ascii="Cambria" w:eastAsia="Cambria" w:hAnsi="Cambria" w:cs="Cambria"/>
          <w:sz w:val="20"/>
          <w:szCs w:val="20"/>
        </w:rPr>
        <w:t>liviabrsembiring36@gmail.com</w:t>
      </w:r>
    </w:p>
    <w:tbl>
      <w:tblPr>
        <w:tblW w:w="9072" w:type="dxa"/>
        <w:shd w:val="clear" w:color="auto" w:fill="D9D9D9" w:themeFill="background1" w:themeFillShade="D9"/>
        <w:tblLayout w:type="fixed"/>
        <w:tblLook w:val="0600" w:firstRow="0" w:lastRow="0" w:firstColumn="0" w:lastColumn="0" w:noHBand="1" w:noVBand="1"/>
      </w:tblPr>
      <w:tblGrid>
        <w:gridCol w:w="9072"/>
      </w:tblGrid>
      <w:tr w:rsidR="0073552C" w:rsidRPr="00746B99" w14:paraId="59BEA27C" w14:textId="77777777" w:rsidTr="00B30E92">
        <w:tc>
          <w:tcPr>
            <w:tcW w:w="9072" w:type="dxa"/>
            <w:shd w:val="clear" w:color="auto" w:fill="D9D9D9" w:themeFill="background1" w:themeFillShade="D9"/>
            <w:tcMar>
              <w:top w:w="100" w:type="dxa"/>
              <w:left w:w="100" w:type="dxa"/>
              <w:bottom w:w="100" w:type="dxa"/>
              <w:right w:w="100" w:type="dxa"/>
            </w:tcMar>
          </w:tcPr>
          <w:p w14:paraId="5C48F0D3" w14:textId="77777777" w:rsidR="0073552C" w:rsidRPr="00746B99" w:rsidRDefault="0073552C" w:rsidP="000F4743">
            <w:pPr>
              <w:spacing w:after="120" w:line="288" w:lineRule="auto"/>
              <w:jc w:val="both"/>
              <w:rPr>
                <w:rFonts w:ascii="Cambria" w:eastAsia="Cambria" w:hAnsi="Cambria" w:cs="Cambria"/>
                <w:b/>
                <w:sz w:val="24"/>
                <w:szCs w:val="24"/>
              </w:rPr>
            </w:pPr>
            <w:r w:rsidRPr="00746B99">
              <w:rPr>
                <w:rFonts w:ascii="Cambria" w:eastAsia="Cambria" w:hAnsi="Cambria" w:cs="Cambria"/>
                <w:b/>
                <w:sz w:val="24"/>
                <w:szCs w:val="24"/>
              </w:rPr>
              <w:t xml:space="preserve">Abstract </w:t>
            </w:r>
          </w:p>
          <w:p w14:paraId="352F815E" w14:textId="70DF3AE4" w:rsidR="008E2350" w:rsidRDefault="008E2350" w:rsidP="008E2350">
            <w:pPr>
              <w:spacing w:after="0" w:line="240" w:lineRule="auto"/>
              <w:jc w:val="both"/>
              <w:rPr>
                <w:rFonts w:ascii="Cambria" w:hAnsi="Cambria" w:cs="Times New Roman"/>
              </w:rPr>
            </w:pPr>
            <w:r w:rsidRPr="008E2350">
              <w:rPr>
                <w:rFonts w:ascii="Cambria" w:hAnsi="Cambria" w:cs="Times New Roman"/>
              </w:rPr>
              <w:t>The transformation of education in the era of globalization requires changes in the role of teachers and the development of curricula that are able to prepare students to face global challenges. One of the efforts made is through the implementation of foreign curricula that are oriented toward the development of 21st-century skills, student-centered learning, and the use of technology in the learning process. This study aims to analyze how the transformation of teachers' roles through the implementation of foreign curricula can have a positive impact on improving the quality of global students. The research uses a qualitative approach with a literature review method by examining various national and international journals relevant to the topics of educational transformation, teacher competence, and the implementation of international curricula. The results of the study show that the implementation of foreign curricula encourages a change in the role of teachers from content deliverers to facilitators, innovators, mentors, and agents of change in the learning process. Teachers are required to have pedagogical, professional, and social competencies, as well as digital literacy skills and an understanding of global education standards. This transformation has a positive impact on improving students' quality, particularly in developing critical thinking, creativity, communication, collaboration, and readiness to face global competition. Therefore, strengthening teacher competencies through the implementation of foreign curricula is an important factor in creating more innovative learning processes and producing a generation of students who are adaptive, competent, and globally competitive.</w:t>
            </w:r>
          </w:p>
          <w:p w14:paraId="3EE33F94" w14:textId="77777777" w:rsidR="008E2350" w:rsidRPr="008E2350" w:rsidRDefault="008E2350" w:rsidP="008E2350">
            <w:pPr>
              <w:spacing w:after="0" w:line="240" w:lineRule="auto"/>
              <w:jc w:val="both"/>
              <w:rPr>
                <w:rFonts w:ascii="Cambria" w:hAnsi="Cambria" w:cs="Times New Roman"/>
              </w:rPr>
            </w:pPr>
          </w:p>
          <w:p w14:paraId="3A25DDE6" w14:textId="7A82BB14" w:rsidR="0073552C" w:rsidRPr="00444FF3" w:rsidRDefault="008E2350" w:rsidP="008E2350">
            <w:pPr>
              <w:spacing w:after="0" w:line="240" w:lineRule="auto"/>
              <w:jc w:val="both"/>
              <w:rPr>
                <w:rFonts w:ascii="Cambria" w:eastAsia="Cambria" w:hAnsi="Cambria" w:cs="Cambria"/>
                <w:b/>
                <w:sz w:val="24"/>
                <w:szCs w:val="24"/>
                <w:lang w:val="en-US"/>
              </w:rPr>
            </w:pPr>
            <w:r w:rsidRPr="008E2350">
              <w:rPr>
                <w:rFonts w:ascii="Cambria" w:hAnsi="Cambria" w:cs="Times New Roman"/>
                <w:b/>
                <w:bCs/>
              </w:rPr>
              <w:t>Keywords</w:t>
            </w:r>
            <w:r w:rsidRPr="008E2350">
              <w:rPr>
                <w:rFonts w:ascii="Cambria" w:hAnsi="Cambria" w:cs="Times New Roman"/>
              </w:rPr>
              <w:t>: education, global competence, international curriculum</w:t>
            </w:r>
          </w:p>
        </w:tc>
      </w:tr>
    </w:tbl>
    <w:p w14:paraId="016C5866" w14:textId="77777777" w:rsidR="0073552C" w:rsidRPr="00746B99" w:rsidRDefault="0073552C" w:rsidP="0073552C">
      <w:pPr>
        <w:spacing w:after="0" w:line="240" w:lineRule="auto"/>
        <w:ind w:right="-21"/>
        <w:jc w:val="both"/>
        <w:rPr>
          <w:rFonts w:ascii="Cambria" w:eastAsia="Cambria" w:hAnsi="Cambria" w:cs="Cambria"/>
        </w:rPr>
      </w:pPr>
    </w:p>
    <w:p w14:paraId="1B94535B" w14:textId="77777777" w:rsidR="0073552C" w:rsidRPr="00746B99" w:rsidRDefault="0073552C" w:rsidP="0073552C">
      <w:pPr>
        <w:spacing w:after="0" w:line="240" w:lineRule="auto"/>
        <w:ind w:left="720" w:right="707"/>
        <w:jc w:val="both"/>
        <w:rPr>
          <w:rFonts w:ascii="Cambria" w:eastAsia="Arial" w:hAnsi="Cambria" w:cs="Arial"/>
          <w:sz w:val="24"/>
          <w:szCs w:val="24"/>
        </w:rPr>
      </w:pPr>
    </w:p>
    <w:p w14:paraId="7DEE4C4A" w14:textId="2401A25C" w:rsidR="00954CB5" w:rsidRPr="00746B99" w:rsidRDefault="001B5291">
      <w:pPr>
        <w:spacing w:after="0" w:line="240" w:lineRule="auto"/>
        <w:jc w:val="both"/>
        <w:rPr>
          <w:rFonts w:ascii="Cambria" w:eastAsia="Arial" w:hAnsi="Cambria" w:cs="Arial"/>
          <w:b/>
          <w:sz w:val="32"/>
          <w:szCs w:val="32"/>
        </w:rPr>
      </w:pPr>
      <w:r w:rsidRPr="00B30E92">
        <w:rPr>
          <w:rFonts w:ascii="Cambria" w:eastAsia="Arial" w:hAnsi="Cambria" w:cs="Arial"/>
          <w:b/>
          <w:sz w:val="32"/>
          <w:szCs w:val="32"/>
        </w:rPr>
        <w:t>INTRODUCTION</w:t>
      </w:r>
    </w:p>
    <w:p w14:paraId="3C5C4F0F" w14:textId="77777777" w:rsidR="00CE144E" w:rsidRPr="00CE144E" w:rsidRDefault="00CE144E" w:rsidP="00CE144E">
      <w:pPr>
        <w:spacing w:after="0" w:line="240" w:lineRule="auto"/>
        <w:ind w:firstLine="709"/>
        <w:jc w:val="both"/>
        <w:rPr>
          <w:rFonts w:ascii="Cambria" w:eastAsia="Arial" w:hAnsi="Cambria" w:cs="Arial"/>
          <w:sz w:val="24"/>
          <w:szCs w:val="24"/>
        </w:rPr>
      </w:pPr>
      <w:r w:rsidRPr="00CE144E">
        <w:rPr>
          <w:rFonts w:ascii="Cambria" w:eastAsia="Arial" w:hAnsi="Cambria" w:cs="Arial"/>
          <w:sz w:val="24"/>
          <w:szCs w:val="24"/>
        </w:rPr>
        <w:t>Elementary education is the primary foundation in shaping the quality of human resources capable of competing at the global level. At this stage, students begin to develop character, mindset, social skills, and basic competencies that will serve as essential preparation for facing the rapid changes of the modern era. Therefore, elementary education plays a strategic role in creating a generation that is not only academically intelligent but also able to adapt to the fast and dynamic changes of globalization.</w:t>
      </w:r>
    </w:p>
    <w:p w14:paraId="266243B9" w14:textId="77777777" w:rsidR="00CE144E" w:rsidRPr="00CE144E" w:rsidRDefault="00CE144E" w:rsidP="00CE144E">
      <w:pPr>
        <w:spacing w:after="0" w:line="240" w:lineRule="auto"/>
        <w:ind w:firstLine="709"/>
        <w:jc w:val="both"/>
        <w:rPr>
          <w:rFonts w:ascii="Cambria" w:eastAsia="Arial" w:hAnsi="Cambria" w:cs="Arial"/>
          <w:sz w:val="24"/>
          <w:szCs w:val="24"/>
        </w:rPr>
      </w:pPr>
      <w:r w:rsidRPr="00CE144E">
        <w:rPr>
          <w:rFonts w:ascii="Cambria" w:eastAsia="Arial" w:hAnsi="Cambria" w:cs="Arial"/>
          <w:sz w:val="24"/>
          <w:szCs w:val="24"/>
        </w:rPr>
        <w:t>In the era of globalization and rapid technological advancement, educational transformation is no longer focused solely on the national context, but also needs to adopt educational perspectives and practices from other countries that have proven effective in improving the quality of learning. The development of information and communication technology enables the exchange of knowledge, culture, and educational systems between countries. This encourages educational institutions to innovate curricula in order to produce graduates who possess global competencies, critical thinking skills, and 21st-</w:t>
      </w:r>
      <w:r w:rsidRPr="00CE144E">
        <w:rPr>
          <w:rFonts w:ascii="Cambria" w:eastAsia="Arial" w:hAnsi="Cambria" w:cs="Arial"/>
          <w:sz w:val="24"/>
          <w:szCs w:val="24"/>
        </w:rPr>
        <w:lastRenderedPageBreak/>
        <w:t>century skills relevant to the needs of the global workforce and international society (Nugroho et al., 2025; Qomariyah et al., 2025).</w:t>
      </w:r>
    </w:p>
    <w:p w14:paraId="22CCE554" w14:textId="77777777" w:rsidR="00CE144E" w:rsidRPr="00CE144E" w:rsidRDefault="00CE144E" w:rsidP="00CE144E">
      <w:pPr>
        <w:spacing w:after="0" w:line="240" w:lineRule="auto"/>
        <w:ind w:firstLine="709"/>
        <w:rPr>
          <w:rFonts w:ascii="Cambria" w:eastAsia="Arial" w:hAnsi="Cambria" w:cs="Arial"/>
          <w:sz w:val="24"/>
          <w:szCs w:val="24"/>
        </w:rPr>
      </w:pPr>
    </w:p>
    <w:p w14:paraId="2986882E" w14:textId="77777777" w:rsidR="00CE144E" w:rsidRPr="00CE144E" w:rsidRDefault="00CE144E" w:rsidP="00CE144E">
      <w:pPr>
        <w:spacing w:after="0" w:line="240" w:lineRule="auto"/>
        <w:ind w:firstLine="709"/>
        <w:jc w:val="both"/>
        <w:rPr>
          <w:rFonts w:ascii="Cambria" w:eastAsia="Arial" w:hAnsi="Cambria" w:cs="Arial"/>
          <w:sz w:val="24"/>
          <w:szCs w:val="24"/>
        </w:rPr>
      </w:pPr>
      <w:r w:rsidRPr="00CE144E">
        <w:rPr>
          <w:rFonts w:ascii="Cambria" w:eastAsia="Arial" w:hAnsi="Cambria" w:cs="Arial"/>
          <w:sz w:val="24"/>
          <w:szCs w:val="24"/>
        </w:rPr>
        <w:t>Foreign curricula that emphasize student-centered learning, the development of 21st-century skills, the use of technology, and the strengthening of global character have brought significant changes to the role of teachers in the classroom. Teachers are no longer merely content deliverers but act as facilitators, mentors, and agents of change who are able to integrate innovative approaches into the learning process (Sutanto, 2024; Elfrida et al., 2020). In practice, teachers are required to create learning environments that are active, collaborative, creative, and encourage students to think independently in solving problems.</w:t>
      </w:r>
    </w:p>
    <w:p w14:paraId="4323710F" w14:textId="77777777" w:rsidR="00CE144E" w:rsidRPr="00CE144E" w:rsidRDefault="00CE144E" w:rsidP="00CE144E">
      <w:pPr>
        <w:spacing w:after="0" w:line="240" w:lineRule="auto"/>
        <w:ind w:firstLine="709"/>
        <w:jc w:val="both"/>
        <w:rPr>
          <w:rFonts w:ascii="Cambria" w:eastAsia="Arial" w:hAnsi="Cambria" w:cs="Arial"/>
          <w:sz w:val="24"/>
          <w:szCs w:val="24"/>
        </w:rPr>
      </w:pPr>
      <w:r w:rsidRPr="00CE144E">
        <w:rPr>
          <w:rFonts w:ascii="Cambria" w:eastAsia="Arial" w:hAnsi="Cambria" w:cs="Arial"/>
          <w:sz w:val="24"/>
          <w:szCs w:val="24"/>
        </w:rPr>
        <w:t>This transformation of the teacher’s role has a positive impact on student quality, particularly in developing critical thinking, creativity, collaboration, communication skills, and readiness to face global challenges. Through more interactive and problem-solving-oriented learning, students become more active in exploring knowledge and developing their social skills. Research also shows that curriculum internationalization and global learning experiences such as virtual exchange can significantly enhance critical thinking and transformative learning (Duffy et al., 2022).</w:t>
      </w:r>
    </w:p>
    <w:p w14:paraId="5FEEFB02" w14:textId="77777777" w:rsidR="00CE144E" w:rsidRPr="00CE144E" w:rsidRDefault="00CE144E" w:rsidP="00CE144E">
      <w:pPr>
        <w:spacing w:after="0" w:line="240" w:lineRule="auto"/>
        <w:ind w:firstLine="709"/>
        <w:jc w:val="both"/>
        <w:rPr>
          <w:rFonts w:ascii="Cambria" w:eastAsia="Arial" w:hAnsi="Cambria" w:cs="Arial"/>
          <w:sz w:val="24"/>
          <w:szCs w:val="24"/>
        </w:rPr>
      </w:pPr>
      <w:r w:rsidRPr="00CE144E">
        <w:rPr>
          <w:rFonts w:ascii="Cambria" w:eastAsia="Arial" w:hAnsi="Cambria" w:cs="Arial"/>
          <w:sz w:val="24"/>
          <w:szCs w:val="24"/>
        </w:rPr>
        <w:t>The success of educational transformation through the implementation of foreign curricula certainly requires support from various parties. Adaptive education policies, transformational leadership in schools, and continuous professional training for teachers are important factors in ensuring the optimal implementation of the curriculum. Teacher education programs and curriculum integration strategies are also essential in strengthening global competence among educators (Nopas &amp; Kerdsomboon, 2024; Jannati et al., 2023). Teachers need opportunities to improve their pedagogical, professional, and digital competencies in order to adapt to the demands of global learning.</w:t>
      </w:r>
    </w:p>
    <w:p w14:paraId="6A1D863C" w14:textId="77777777" w:rsidR="00CE144E" w:rsidRPr="00CE144E" w:rsidRDefault="00CE144E" w:rsidP="00CE144E">
      <w:pPr>
        <w:spacing w:after="0" w:line="240" w:lineRule="auto"/>
        <w:ind w:firstLine="709"/>
        <w:jc w:val="both"/>
        <w:rPr>
          <w:rFonts w:ascii="Cambria" w:eastAsia="Arial" w:hAnsi="Cambria" w:cs="Arial"/>
          <w:sz w:val="24"/>
          <w:szCs w:val="24"/>
        </w:rPr>
      </w:pPr>
      <w:r w:rsidRPr="00CE144E">
        <w:rPr>
          <w:rFonts w:ascii="Cambria" w:eastAsia="Arial" w:hAnsi="Cambria" w:cs="Arial"/>
          <w:sz w:val="24"/>
          <w:szCs w:val="24"/>
        </w:rPr>
        <w:t>Furthermore, curriculum development models continue to evolve to support global education demands and educational innovation (Nugroho et al., 2025). Various studies also highlight that the implementation of international curricula such as Cambridge-based education systems contributes to improving learning quality and global readiness of students (Ramadianti, 2021).</w:t>
      </w:r>
    </w:p>
    <w:p w14:paraId="26AA00E3" w14:textId="4718AE98" w:rsidR="003324F4" w:rsidRDefault="00CE144E" w:rsidP="00CE144E">
      <w:pPr>
        <w:spacing w:after="0" w:line="240" w:lineRule="auto"/>
        <w:ind w:firstLine="709"/>
        <w:jc w:val="both"/>
        <w:rPr>
          <w:rFonts w:ascii="Cambria" w:eastAsia="Arial" w:hAnsi="Cambria" w:cs="Arial"/>
          <w:sz w:val="24"/>
          <w:szCs w:val="24"/>
        </w:rPr>
      </w:pPr>
      <w:r w:rsidRPr="00CE144E">
        <w:rPr>
          <w:rFonts w:ascii="Cambria" w:eastAsia="Arial" w:hAnsi="Cambria" w:cs="Arial"/>
          <w:sz w:val="24"/>
          <w:szCs w:val="24"/>
        </w:rPr>
        <w:t>Thus, the implementation of internationally based curricula has the potential to create a generation of students who are adaptive, competent, and globally competitive. Therefore, the study of teacher role transformation through the implementation of foreign curricula is important to understand how these changes can improve student quality in the context of global education and contribute positively to the development of the education system in Indonesia.</w:t>
      </w:r>
    </w:p>
    <w:p w14:paraId="18EED09E" w14:textId="77777777" w:rsidR="006A7438" w:rsidRPr="003324F4" w:rsidRDefault="006A7438" w:rsidP="00CE144E">
      <w:pPr>
        <w:spacing w:after="0" w:line="240" w:lineRule="auto"/>
        <w:ind w:firstLine="709"/>
        <w:jc w:val="both"/>
        <w:rPr>
          <w:rFonts w:ascii="Cambria" w:eastAsia="Arial" w:hAnsi="Cambria" w:cs="Arial"/>
          <w:sz w:val="24"/>
          <w:szCs w:val="24"/>
          <w:lang w:val="en-US"/>
        </w:rPr>
      </w:pPr>
    </w:p>
    <w:p w14:paraId="683C6241" w14:textId="091AB3E5" w:rsidR="00C064E1" w:rsidRPr="00746B99" w:rsidRDefault="00D6413E" w:rsidP="00082832">
      <w:pPr>
        <w:spacing w:after="0" w:line="240" w:lineRule="auto"/>
        <w:jc w:val="both"/>
        <w:rPr>
          <w:rFonts w:ascii="Cambria" w:eastAsia="Arial" w:hAnsi="Cambria" w:cs="Arial"/>
          <w:b/>
          <w:sz w:val="32"/>
          <w:szCs w:val="32"/>
        </w:rPr>
      </w:pPr>
      <w:r w:rsidRPr="00D6413E">
        <w:rPr>
          <w:rFonts w:ascii="Cambria" w:eastAsia="Arial" w:hAnsi="Cambria" w:cs="Arial"/>
          <w:b/>
          <w:sz w:val="32"/>
          <w:szCs w:val="32"/>
        </w:rPr>
        <w:t>METHOD</w:t>
      </w:r>
    </w:p>
    <w:p w14:paraId="6D2F9159" w14:textId="77777777" w:rsidR="006A1840" w:rsidRPr="006A1840" w:rsidRDefault="006A1840" w:rsidP="006A1840">
      <w:pPr>
        <w:spacing w:after="0" w:line="240" w:lineRule="auto"/>
        <w:ind w:firstLine="709"/>
        <w:jc w:val="both"/>
        <w:rPr>
          <w:rFonts w:ascii="Cambria" w:eastAsia="Arial" w:hAnsi="Cambria" w:cs="Arial"/>
          <w:sz w:val="24"/>
          <w:szCs w:val="24"/>
          <w:lang w:val="en-US"/>
        </w:rPr>
      </w:pPr>
      <w:r w:rsidRPr="006A1840">
        <w:rPr>
          <w:rFonts w:ascii="Cambria" w:eastAsia="Arial" w:hAnsi="Cambria" w:cs="Arial"/>
          <w:sz w:val="24"/>
          <w:szCs w:val="24"/>
          <w:lang w:val="en-US"/>
        </w:rPr>
        <w:t>This study uses a qualitative approach with a literature review method. The research is conducted by reviewing and analyzing various scientific journal articles relevant to the topic of teacher role transformation through the implementation of foreign curricula and its impact on the quality of global students. The data sources in this study are derived from national and international journals that discuss educational transformation, transformational leadership, learning innovation, technology integration, and the development of 21st-century student competencies.</w:t>
      </w:r>
    </w:p>
    <w:p w14:paraId="2CEC0E37" w14:textId="63A5D2E6" w:rsidR="0027122F" w:rsidRPr="006A1840" w:rsidRDefault="006A1840" w:rsidP="006A1840">
      <w:pPr>
        <w:spacing w:after="0" w:line="240" w:lineRule="auto"/>
        <w:ind w:firstLine="709"/>
        <w:jc w:val="both"/>
        <w:rPr>
          <w:rFonts w:ascii="Cambria" w:eastAsia="Arial" w:hAnsi="Cambria" w:cs="Arial"/>
          <w:sz w:val="24"/>
          <w:szCs w:val="24"/>
          <w:lang w:val="en-US"/>
        </w:rPr>
      </w:pPr>
      <w:r w:rsidRPr="006A1840">
        <w:rPr>
          <w:rFonts w:ascii="Cambria" w:eastAsia="Arial" w:hAnsi="Cambria" w:cs="Arial"/>
          <w:sz w:val="24"/>
          <w:szCs w:val="24"/>
          <w:lang w:val="en-US"/>
        </w:rPr>
        <w:t xml:space="preserve">The data collection technique is carried out through searching, selecting, and reviewing journal articles </w:t>
      </w:r>
      <w:r w:rsidRPr="006A1840">
        <w:rPr>
          <w:rFonts w:ascii="Cambria" w:eastAsia="Arial" w:hAnsi="Cambria" w:cs="Arial"/>
          <w:sz w:val="24"/>
          <w:szCs w:val="24"/>
        </w:rPr>
        <w:t>that</w:t>
      </w:r>
      <w:r w:rsidRPr="006A1840">
        <w:rPr>
          <w:rFonts w:ascii="Cambria" w:eastAsia="Arial" w:hAnsi="Cambria" w:cs="Arial"/>
          <w:sz w:val="24"/>
          <w:szCs w:val="24"/>
          <w:lang w:val="en-US"/>
        </w:rPr>
        <w:t xml:space="preserve"> are relevant to the research focus. The selected articles are scholarly publications that have a direct connection to the research theme. The collected </w:t>
      </w:r>
      <w:r w:rsidRPr="006A1840">
        <w:rPr>
          <w:rFonts w:ascii="Cambria" w:eastAsia="Arial" w:hAnsi="Cambria" w:cs="Arial"/>
          <w:sz w:val="24"/>
          <w:szCs w:val="24"/>
          <w:lang w:val="en-US"/>
        </w:rPr>
        <w:lastRenderedPageBreak/>
        <w:t>data is then analyzed using a descriptive-qualitative analysis technique, which involves identifying key ideas, comparing findings across journals, and synthesizing the results of the review to obtain comprehensive conclusions. Through this method, the study aims to provide a conceptual understanding of how the transformation of teachers’ roles in adopting foreign curriculum practices can positively impact the improvement of student quality in the context of global education.</w:t>
      </w:r>
    </w:p>
    <w:p w14:paraId="7B6585FC" w14:textId="77777777" w:rsidR="003324F4" w:rsidRPr="003324F4" w:rsidRDefault="003324F4" w:rsidP="00082832">
      <w:pPr>
        <w:spacing w:after="0" w:line="240" w:lineRule="auto"/>
        <w:ind w:firstLine="709"/>
        <w:jc w:val="both"/>
        <w:rPr>
          <w:rFonts w:ascii="Cambria" w:eastAsia="Arial" w:hAnsi="Cambria" w:cs="Arial"/>
          <w:sz w:val="24"/>
          <w:szCs w:val="24"/>
          <w:lang w:val="en-US"/>
        </w:rPr>
      </w:pPr>
    </w:p>
    <w:p w14:paraId="025A9584" w14:textId="2D56937E" w:rsidR="000E3641" w:rsidRPr="001B5291" w:rsidRDefault="001B5291" w:rsidP="00082832">
      <w:pPr>
        <w:spacing w:after="0" w:line="240" w:lineRule="auto"/>
        <w:rPr>
          <w:rFonts w:ascii="Cambria" w:hAnsi="Cambria"/>
          <w:b/>
          <w:bCs/>
          <w:sz w:val="32"/>
          <w:szCs w:val="28"/>
          <w:lang w:val="en-ID"/>
        </w:rPr>
      </w:pPr>
      <w:r w:rsidRPr="001B5291">
        <w:rPr>
          <w:rFonts w:ascii="Cambria" w:hAnsi="Cambria"/>
          <w:b/>
          <w:bCs/>
          <w:sz w:val="32"/>
          <w:szCs w:val="28"/>
          <w:lang w:val="en-ID"/>
        </w:rPr>
        <w:t>RESULTS AND DISCUSSION</w:t>
      </w:r>
    </w:p>
    <w:p w14:paraId="59517A4E" w14:textId="77777777" w:rsidR="00B3323C" w:rsidRPr="00B3323C" w:rsidRDefault="00B3323C" w:rsidP="00B3323C">
      <w:pPr>
        <w:pStyle w:val="BodyText"/>
        <w:ind w:right="-1" w:firstLine="686"/>
        <w:rPr>
          <w:rFonts w:ascii="Cambria" w:eastAsia="Arial" w:hAnsi="Cambria" w:cs="Arial"/>
          <w:lang w:val="en-US"/>
        </w:rPr>
      </w:pPr>
      <w:r w:rsidRPr="00B3323C">
        <w:rPr>
          <w:rFonts w:ascii="Cambria" w:eastAsia="Arial" w:hAnsi="Cambria" w:cs="Arial"/>
          <w:lang w:val="en-US"/>
        </w:rPr>
        <w:t>The transformation of teachers’ roles through the implementation of foreign curricula such as Cambridge has a positive impact on improving the quality of global students. The implementation of the Cambridge Curriculum, which emphasizes inquiry-based learning, critical thinking, scientific communication, and international assessment standards, encourages teachers to transform from mere content deliverers into adaptive, innovative learning facilitators oriented toward the development of 21st-century competencies (Salsabila et al., 2026). In line with this, studies on professional teacher transformation emphasize that in the era of globalization, teachers must possess strong pedagogical, professional, social, and personal competencies, as well as the ability to integrate technology and build students’ character to prepare them for international competition. With the adoption of foreign curricula, teachers are encouraged to improve their language proficiency, digital literacy, and understanding of global standards, resulting in more active, analytical, and collaborative learning processes (Andyani et al., 2025). As a result, students not only excel academically but also develop critical thinking skills, global communication abilities, and readiness to face international challenges, which ultimately contribute to improving the quality of globally competitive human resources.</w:t>
      </w:r>
    </w:p>
    <w:p w14:paraId="6789E4BD" w14:textId="77777777" w:rsidR="00B3323C" w:rsidRPr="00B3323C" w:rsidRDefault="00B3323C" w:rsidP="00B3323C">
      <w:pPr>
        <w:pStyle w:val="BodyText"/>
        <w:ind w:right="-1" w:firstLine="686"/>
        <w:rPr>
          <w:rFonts w:ascii="Cambria" w:eastAsia="Arial" w:hAnsi="Cambria" w:cs="Arial"/>
          <w:lang w:val="en-US"/>
        </w:rPr>
      </w:pPr>
      <w:r w:rsidRPr="00B3323C">
        <w:rPr>
          <w:rFonts w:ascii="Cambria" w:eastAsia="Arial" w:hAnsi="Cambria" w:cs="Arial"/>
          <w:lang w:val="en-US"/>
        </w:rPr>
        <w:t>The implementation of foreign curricula also shows fundamental changes in educational practice, shifting teachers’ roles from mere content deliverers to facilitators, innovators, and mentors oriented toward global learning. According to Elfrida (2020), teacher competence and the implementation of foreign curricula have a positive effect on teacher performance; thus, the higher the teacher’s competence and understanding of international curricula, the more optimal the quality of learning produced. The integration of international education can enhance students’ global literacy and learning attitudes, and shows a significant correlation between global competence and the quality of students’ learning attitudes. The adoption of foreign curricula encourages teachers to implement student-centered learning, critical thinking, and global awareness, which in turn positively contributes to the formation of adaptive, competent students ready to compete in a global context (Yao et al., 2025).</w:t>
      </w:r>
    </w:p>
    <w:p w14:paraId="4DF514FA" w14:textId="2FC51BE2" w:rsidR="00B3323C" w:rsidRPr="00B3323C" w:rsidRDefault="00B3323C" w:rsidP="00B3323C">
      <w:pPr>
        <w:pStyle w:val="BodyText"/>
        <w:ind w:right="-1" w:firstLine="686"/>
        <w:rPr>
          <w:rFonts w:ascii="Cambria" w:eastAsia="Arial" w:hAnsi="Cambria" w:cs="Arial"/>
          <w:lang w:val="en-US"/>
        </w:rPr>
      </w:pPr>
      <w:r w:rsidRPr="00B3323C">
        <w:rPr>
          <w:rFonts w:ascii="Cambria" w:eastAsia="Arial" w:hAnsi="Cambria" w:cs="Arial"/>
          <w:lang w:val="en-US"/>
        </w:rPr>
        <w:t>The era of globalization demands comprehensive changes in the education system, particularly in curriculum innovation and strengthening the role of teachers as agents of change. According to Supardi et al. (2025), educational innovation must be holistic, sustainable, and involve all stakeholders, with a primary emphasis on developing teacher competence and curriculum renewal to remain relevant to contemporary demands. Teachers are no longer the sole source of information but serve as facilitators, innovators, and developers of students’ potential who can wisely utilize technology in learning. In line with this, educational innovation</w:t>
      </w:r>
      <w:r>
        <w:rPr>
          <w:rFonts w:ascii="Cambria" w:eastAsia="Arial" w:hAnsi="Cambria" w:cs="Arial"/>
          <w:lang w:val="en-US"/>
        </w:rPr>
        <w:t xml:space="preserve"> </w:t>
      </w:r>
      <w:r w:rsidRPr="00B3323C">
        <w:rPr>
          <w:rFonts w:ascii="Cambria" w:eastAsia="Arial" w:hAnsi="Cambria" w:cs="Arial"/>
          <w:lang w:val="en-US"/>
        </w:rPr>
        <w:t>whether through top-down or bottom-up models</w:t>
      </w:r>
      <w:r>
        <w:rPr>
          <w:rFonts w:ascii="Cambria" w:eastAsia="Arial" w:hAnsi="Cambria" w:cs="Arial"/>
          <w:lang w:val="en-US"/>
        </w:rPr>
        <w:t xml:space="preserve"> </w:t>
      </w:r>
      <w:r w:rsidRPr="00B3323C">
        <w:rPr>
          <w:rFonts w:ascii="Cambria" w:eastAsia="Arial" w:hAnsi="Cambria" w:cs="Arial"/>
          <w:lang w:val="en-US"/>
        </w:rPr>
        <w:t xml:space="preserve">aims to improve effectiveness, efficiency, and learning quality by positioning teachers, curriculum, and students as the main focus of change. In the context of foreign curricula, this transformation is increasingly evident as teachers are required to master global learning approaches, develop 21st-century skills, and shape students’ characters to be </w:t>
      </w:r>
      <w:r w:rsidRPr="00B3323C">
        <w:rPr>
          <w:rFonts w:ascii="Cambria" w:eastAsia="Arial" w:hAnsi="Cambria" w:cs="Arial"/>
          <w:lang w:val="en-US"/>
        </w:rPr>
        <w:lastRenderedPageBreak/>
        <w:t>adaptive, critical, and competitive at the international level (Qomariyah &amp; Azizah, 2025). Thus, the success of global-oriented curriculum implementation largely depends on teachers’ readiness and professionalism in innovating, which ultimately has a positive impact on improving student quality as global citizens.</w:t>
      </w:r>
    </w:p>
    <w:p w14:paraId="061EE1D4" w14:textId="77777777" w:rsidR="00B3323C" w:rsidRPr="00B3323C" w:rsidRDefault="00B3323C" w:rsidP="00B3323C">
      <w:pPr>
        <w:pStyle w:val="BodyText"/>
        <w:ind w:right="-1" w:firstLine="686"/>
        <w:rPr>
          <w:rFonts w:ascii="Cambria" w:eastAsia="Arial" w:hAnsi="Cambria" w:cs="Arial"/>
          <w:lang w:val="en-US"/>
        </w:rPr>
      </w:pPr>
      <w:r w:rsidRPr="00B3323C">
        <w:rPr>
          <w:rFonts w:ascii="Cambria" w:eastAsia="Arial" w:hAnsi="Cambria" w:cs="Arial"/>
          <w:lang w:val="en-US"/>
        </w:rPr>
        <w:t>The implementation of foreign curricula has been proven to transform teachers’ roles from mere content deliverers into facilitators, mediators, and learning mentors oriented toward the development of 21st-century skills (Nisa &amp; Wardani, 2023). International curricula encourage teachers to apply project-based learning, problem-solving approaches, digital literacy, and authentic assessment, all of which require improved pedagogical and professional competencies, including foreign language mastery and multicultural perspectives. This transformation has a direct impact on improving global student quality, as reflected in the development of critical thinking, international communication skills, independent learning abilities, and intercultural awareness. Thus, changes in foreign curricula not only affect the education system but also form a more adaptive and competitive educational ecosystem, where improving teacher quality becomes a key factor in producing students who are ready to face global challenges (Ramadianti, 2023).</w:t>
      </w:r>
    </w:p>
    <w:p w14:paraId="0D4AB642" w14:textId="77777777" w:rsidR="00B3323C" w:rsidRPr="00B3323C" w:rsidRDefault="00B3323C" w:rsidP="00B3323C">
      <w:pPr>
        <w:pStyle w:val="BodyText"/>
        <w:ind w:right="-1" w:firstLine="686"/>
        <w:rPr>
          <w:rFonts w:ascii="Cambria" w:eastAsia="Arial" w:hAnsi="Cambria" w:cs="Arial"/>
          <w:lang w:val="en-US"/>
        </w:rPr>
      </w:pPr>
      <w:r w:rsidRPr="00B3323C">
        <w:rPr>
          <w:rFonts w:ascii="Cambria" w:eastAsia="Arial" w:hAnsi="Cambria" w:cs="Arial"/>
          <w:lang w:val="en-US"/>
        </w:rPr>
        <w:t>Foreign curricula also show a significant shift from the traditional role of teachers as content deliverers to facilitators, innovators, and mentors oriented toward the development of 21st-century competencies. Ruaya et al. (2022) emphasize that educational transformation in elementary schools requires teachers to adapt to curriculum changes, utilize technology, and create student-centered learning to improve learning processes and outcomes. Meanwhile, Nugroho &amp; Lumbantobing (2025) highlight that the implementation of internationally standardized curricula encourages teachers to develop collaborative learning approaches, critical thinking, and strengthen students’ global character to compete at the international level. Thus, the transformation of teachers’ roles through foreign curricula has a positive impact on global student quality, as teachers do not only transfer knowledge but also shape competencies, skills, and international perspectives relevant to modern global challenges.</w:t>
      </w:r>
    </w:p>
    <w:p w14:paraId="31985439" w14:textId="77777777" w:rsidR="00B3323C" w:rsidRPr="00B3323C" w:rsidRDefault="00B3323C" w:rsidP="00B3323C">
      <w:pPr>
        <w:pStyle w:val="BodyText"/>
        <w:ind w:right="-1" w:firstLine="686"/>
        <w:rPr>
          <w:rFonts w:ascii="Cambria" w:eastAsia="Arial" w:hAnsi="Cambria" w:cs="Arial"/>
          <w:lang w:val="en-US"/>
        </w:rPr>
      </w:pPr>
      <w:r w:rsidRPr="00B3323C">
        <w:rPr>
          <w:rFonts w:ascii="Cambria" w:eastAsia="Arial" w:hAnsi="Cambria" w:cs="Arial"/>
          <w:lang w:val="en-US"/>
        </w:rPr>
        <w:t>In facing curriculum internationalization, the transformation of teachers’ roles is inevitable. Teachers are no longer positioned merely as content deliverers but as facilitators, curriculum designers, researchers, communicators, and lifelong learners who are able to integrate disciplinary, pedagogical, socio-cultural, emotional competencies, as well as technological and environmental literacy into their teaching practices (Nopas &amp; Kerdsomboon, 2024). Strengthening curriculum competence in both development and implementation is central to teacher professionalism, especially when foreign curricula are adopted or adapted within national education systems. In this context, foreign curricula encourage teachers to be more adaptive, collaborative, and reflective toward global standards, thereby positively impacting student quality as individuals who are critical, creative, internationally minded, and ready to face global challenges (Sutanto, 2024). Therefore, strengthening teachers’ professional competencies is a strategic foundation for producing globally competitive students.</w:t>
      </w:r>
    </w:p>
    <w:p w14:paraId="5C7C7344" w14:textId="23E52CD0" w:rsidR="00BA52B1" w:rsidRDefault="00B3323C" w:rsidP="00B3323C">
      <w:pPr>
        <w:pStyle w:val="BodyText"/>
        <w:ind w:right="-1" w:firstLine="686"/>
        <w:rPr>
          <w:rFonts w:ascii="Cambria" w:eastAsia="Arial" w:hAnsi="Cambria" w:cs="Arial"/>
          <w:lang w:val="en-US"/>
        </w:rPr>
      </w:pPr>
      <w:r w:rsidRPr="00B3323C">
        <w:rPr>
          <w:rFonts w:ascii="Cambria" w:eastAsia="Arial" w:hAnsi="Cambria" w:cs="Arial"/>
          <w:lang w:val="en-US"/>
        </w:rPr>
        <w:t xml:space="preserve">Teachers are required not only to master subject matter and pedagogical competencies but also to adapt to foreign curriculum standards that emphasize 21st-century skills such as critical thinking, collaboration, communication, creativity, and technological literacy (Selvi, 2010). The implementation of foreign curricula encourages teachers to act as student-centered learning facilitators, instructional innovators, and agents of change who integrate global values with local contexts. This transformation has a positive impact on global student quality because learning becomes more reflective, </w:t>
      </w:r>
      <w:r w:rsidRPr="00B3323C">
        <w:rPr>
          <w:rFonts w:ascii="Cambria" w:eastAsia="Arial" w:hAnsi="Cambria" w:cs="Arial"/>
          <w:lang w:val="en-US"/>
        </w:rPr>
        <w:lastRenderedPageBreak/>
        <w:t>contextual, and competency-based, enabling students not only to excel academically but also to develop character, international perspectives, and readiness to face global competition. Thus, strengthening teacher professionalism through the understanding and implementation of foreign curricula becomes a strategic foundation for improving education quality and shaping globally competitive generations (Duffy et al., 2020).</w:t>
      </w:r>
    </w:p>
    <w:p w14:paraId="29F4F69D" w14:textId="77777777" w:rsidR="00F30FC5" w:rsidRDefault="00F30FC5" w:rsidP="00B3323C">
      <w:pPr>
        <w:pStyle w:val="BodyText"/>
        <w:ind w:right="-1" w:firstLine="686"/>
        <w:rPr>
          <w:rFonts w:ascii="Cambria" w:eastAsia="Arial" w:hAnsi="Cambria" w:cs="Arial"/>
          <w:lang w:val="en-US"/>
        </w:rPr>
      </w:pPr>
    </w:p>
    <w:p w14:paraId="535B8465" w14:textId="77777777" w:rsidR="00B3323C" w:rsidRPr="00B3323C" w:rsidRDefault="00B3323C" w:rsidP="00B3323C">
      <w:pPr>
        <w:spacing w:after="0" w:line="240" w:lineRule="auto"/>
        <w:rPr>
          <w:rFonts w:ascii="Cambria" w:hAnsi="Cambria"/>
          <w:b/>
          <w:bCs/>
          <w:sz w:val="32"/>
          <w:szCs w:val="28"/>
          <w:lang w:val="en-ID"/>
        </w:rPr>
      </w:pPr>
      <w:r w:rsidRPr="00B3323C">
        <w:rPr>
          <w:rFonts w:ascii="Cambria" w:hAnsi="Cambria"/>
          <w:b/>
          <w:bCs/>
          <w:sz w:val="32"/>
          <w:szCs w:val="28"/>
          <w:lang w:val="en-ID"/>
        </w:rPr>
        <w:t>CONCLUSION</w:t>
      </w:r>
    </w:p>
    <w:p w14:paraId="1A0E0E13" w14:textId="77777777" w:rsidR="00B3323C" w:rsidRPr="00B3323C" w:rsidRDefault="00B3323C" w:rsidP="00B3323C">
      <w:pPr>
        <w:pStyle w:val="BodyText"/>
        <w:ind w:right="-1" w:firstLine="686"/>
        <w:rPr>
          <w:rFonts w:ascii="Cambria" w:eastAsia="Arial" w:hAnsi="Cambria" w:cs="Arial"/>
          <w:lang w:val="en-US"/>
        </w:rPr>
      </w:pPr>
      <w:r w:rsidRPr="00B3323C">
        <w:rPr>
          <w:rFonts w:ascii="Cambria" w:eastAsia="Arial" w:hAnsi="Cambria" w:cs="Arial"/>
          <w:lang w:val="en-US"/>
        </w:rPr>
        <w:t>Based on the literature review conducted, it can be concluded that the transformation of teachers’ roles through the implementation of foreign curricula, such as Cambridge Assessment International Education, is a strategic step in improving the quality of global students. The implementation of internationally standardized curricula encourages a shift in the learning paradigm from teacher-centered to student-centered learning, where teachers are no longer merely content deliverers but act as facilitators, innovators, mentors, and agents of change who are adaptive to the dynamics of global education.</w:t>
      </w:r>
    </w:p>
    <w:p w14:paraId="069A6CE5" w14:textId="77777777" w:rsidR="00B3323C" w:rsidRPr="00B3323C" w:rsidRDefault="00B3323C" w:rsidP="00B3323C">
      <w:pPr>
        <w:pStyle w:val="BodyText"/>
        <w:ind w:right="-1" w:firstLine="686"/>
        <w:rPr>
          <w:rFonts w:ascii="Cambria" w:eastAsia="Arial" w:hAnsi="Cambria" w:cs="Arial"/>
          <w:lang w:val="en-US"/>
        </w:rPr>
      </w:pPr>
      <w:r w:rsidRPr="00B3323C">
        <w:rPr>
          <w:rFonts w:ascii="Cambria" w:eastAsia="Arial" w:hAnsi="Cambria" w:cs="Arial"/>
          <w:lang w:val="en-US"/>
        </w:rPr>
        <w:t>This transformation requires the strengthening of teachers’ pedagogical, professional, social, and technological competencies in order to integrate inquiry-based learning approaches, critical thinking, collaboration, communication, and digital literacy into the learning process. Teachers’ readiness and professionalism are key factors in the successful implementation of foreign curricula, as the quality of learning is largely determined by teachers’ ability to adapt global standards into local contexts in a meaningful and reflective way.</w:t>
      </w:r>
    </w:p>
    <w:p w14:paraId="29391E70" w14:textId="61A2F2BD" w:rsidR="00B3323C" w:rsidRDefault="00B3323C" w:rsidP="00B3323C">
      <w:pPr>
        <w:pStyle w:val="BodyText"/>
        <w:ind w:right="-1" w:firstLine="686"/>
        <w:rPr>
          <w:rFonts w:ascii="Cambria" w:eastAsia="Arial" w:hAnsi="Cambria" w:cs="Arial"/>
          <w:lang w:val="en-US"/>
        </w:rPr>
      </w:pPr>
      <w:r w:rsidRPr="00B3323C">
        <w:rPr>
          <w:rFonts w:ascii="Cambria" w:eastAsia="Arial" w:hAnsi="Cambria" w:cs="Arial"/>
          <w:lang w:val="en-US"/>
        </w:rPr>
        <w:t>The positive impact of this transformation is reflected in the improvement of student quality in both academic and non-academic aspects. Students develop into individuals who are more critical, creative, communicative, globally minded, and better prepared to face global challenges. Therefore, strengthening teachers’ roles through the adoption and adaptation of foreign curricula not only enhances the quality of the learning process but also serves as an essential foundation in shaping a generation that is competent, adaptive, and globally competitive. For future research, it is recommended that empirical studies be conducted in the field to directly examine the effectiveness of foreign curriculum implementation on improving student quality across different educational levels.</w:t>
      </w:r>
    </w:p>
    <w:p w14:paraId="4347373E" w14:textId="77777777" w:rsidR="00B3323C" w:rsidRPr="00924DFA" w:rsidRDefault="00B3323C" w:rsidP="00B3323C">
      <w:pPr>
        <w:pStyle w:val="BodyText"/>
        <w:ind w:right="-1" w:firstLine="686"/>
        <w:rPr>
          <w:rFonts w:ascii="Cambria" w:eastAsia="Arial" w:hAnsi="Cambria" w:cs="Arial"/>
          <w:lang w:val="en-US"/>
        </w:rPr>
      </w:pPr>
    </w:p>
    <w:p w14:paraId="5BB7067B" w14:textId="609C520A" w:rsidR="00B40B77" w:rsidRPr="0087166D" w:rsidRDefault="001B5291" w:rsidP="00B40B77">
      <w:pPr>
        <w:spacing w:after="0" w:line="240" w:lineRule="auto"/>
        <w:rPr>
          <w:rFonts w:ascii="Cambria" w:hAnsi="Cambria"/>
          <w:sz w:val="32"/>
          <w:szCs w:val="28"/>
          <w:lang w:val="en-ID"/>
        </w:rPr>
      </w:pPr>
      <w:r w:rsidRPr="0087166D">
        <w:rPr>
          <w:rFonts w:ascii="Cambria" w:hAnsi="Cambria"/>
          <w:b/>
          <w:bCs/>
          <w:sz w:val="32"/>
          <w:szCs w:val="28"/>
          <w:lang w:val="en-ID"/>
        </w:rPr>
        <w:t>REFERENCES</w:t>
      </w:r>
    </w:p>
    <w:p w14:paraId="20D0C56E" w14:textId="77777777" w:rsidR="0089156B" w:rsidRPr="0089156B" w:rsidRDefault="0089156B" w:rsidP="0089156B">
      <w:pPr>
        <w:pStyle w:val="ListParagraph"/>
        <w:numPr>
          <w:ilvl w:val="0"/>
          <w:numId w:val="1"/>
        </w:numPr>
        <w:spacing w:after="0" w:line="240" w:lineRule="auto"/>
        <w:jc w:val="both"/>
        <w:rPr>
          <w:rFonts w:ascii="Cambria" w:hAnsi="Cambria" w:cs="Times New Roman"/>
          <w:noProof/>
          <w:sz w:val="24"/>
          <w:szCs w:val="24"/>
        </w:rPr>
      </w:pPr>
      <w:r w:rsidRPr="0089156B">
        <w:rPr>
          <w:rFonts w:ascii="Cambria" w:hAnsi="Cambria" w:cs="Times New Roman"/>
          <w:noProof/>
          <w:sz w:val="24"/>
          <w:szCs w:val="24"/>
        </w:rPr>
        <w:t>Duffy, L. N., Stone, G. A., Townsend, J., &amp; Cathey, J. (2022). Rethinking Curriculum Internationalization: Virtual Exchange as a Means to Attaining Global Competencies, Developing Critical Thinking, and Experiencing Transformative Learning. SCHOLE: A Journal of Leisure Studies and Recreation Education, 37(1–2), 11–25. https://doi.org/10.1080/1937156X.2020.1760749</w:t>
      </w:r>
    </w:p>
    <w:p w14:paraId="0432D9C4" w14:textId="77777777" w:rsidR="0089156B" w:rsidRPr="0089156B" w:rsidRDefault="0089156B" w:rsidP="0089156B">
      <w:pPr>
        <w:pStyle w:val="ListParagraph"/>
        <w:numPr>
          <w:ilvl w:val="0"/>
          <w:numId w:val="1"/>
        </w:numPr>
        <w:spacing w:after="0" w:line="240" w:lineRule="auto"/>
        <w:jc w:val="both"/>
        <w:rPr>
          <w:rFonts w:ascii="Cambria" w:hAnsi="Cambria" w:cs="Times New Roman"/>
          <w:noProof/>
          <w:sz w:val="24"/>
          <w:szCs w:val="24"/>
        </w:rPr>
      </w:pPr>
      <w:r w:rsidRPr="0089156B">
        <w:rPr>
          <w:rFonts w:ascii="Cambria" w:hAnsi="Cambria" w:cs="Times New Roman"/>
          <w:noProof/>
          <w:sz w:val="24"/>
          <w:szCs w:val="24"/>
          <w:lang w:val="pt-PT"/>
        </w:rPr>
        <w:t xml:space="preserve">Elfrida, D., Santosa, H., &amp; Soefijanto, T. A. (2020). Pengaruh Kompetensi Guru dan </w:t>
      </w:r>
      <w:r w:rsidRPr="0089156B">
        <w:rPr>
          <w:rFonts w:ascii="Cambria" w:hAnsi="Cambria" w:cs="Times New Roman"/>
          <w:noProof/>
          <w:sz w:val="24"/>
          <w:szCs w:val="24"/>
        </w:rPr>
        <w:t>Implementasi</w:t>
      </w:r>
      <w:r w:rsidRPr="0089156B">
        <w:rPr>
          <w:rFonts w:ascii="Cambria" w:hAnsi="Cambria" w:cs="Times New Roman"/>
          <w:noProof/>
          <w:sz w:val="24"/>
          <w:szCs w:val="24"/>
          <w:lang w:val="pt-PT"/>
        </w:rPr>
        <w:t xml:space="preserve"> Kurikulum Asing Terhadap Kinerja Guru di Sekolah Internasional Jakarta Utara. </w:t>
      </w:r>
      <w:r w:rsidRPr="0089156B">
        <w:rPr>
          <w:rFonts w:ascii="Cambria" w:hAnsi="Cambria" w:cs="Times New Roman"/>
          <w:noProof/>
          <w:sz w:val="24"/>
          <w:szCs w:val="24"/>
        </w:rPr>
        <w:t>Tadbir : Jurnal Studi Manajemen Pendidikan, 4(1), 53. https://doi.org/10.29240/jsmp.v4i1.1358</w:t>
      </w:r>
    </w:p>
    <w:p w14:paraId="764823DA" w14:textId="77777777" w:rsidR="0089156B" w:rsidRPr="0089156B" w:rsidRDefault="0089156B" w:rsidP="0089156B">
      <w:pPr>
        <w:pStyle w:val="ListParagraph"/>
        <w:numPr>
          <w:ilvl w:val="0"/>
          <w:numId w:val="1"/>
        </w:numPr>
        <w:spacing w:after="0" w:line="240" w:lineRule="auto"/>
        <w:jc w:val="both"/>
        <w:rPr>
          <w:rFonts w:ascii="Cambria" w:hAnsi="Cambria" w:cs="Times New Roman"/>
          <w:noProof/>
          <w:sz w:val="24"/>
          <w:szCs w:val="24"/>
        </w:rPr>
      </w:pPr>
      <w:r w:rsidRPr="0089156B">
        <w:rPr>
          <w:rFonts w:ascii="Cambria" w:hAnsi="Cambria" w:cs="Times New Roman"/>
          <w:noProof/>
          <w:sz w:val="24"/>
          <w:szCs w:val="24"/>
        </w:rPr>
        <w:t>Jannati, P., Ramadhan, F. A., &amp; Rohimawan, M. A. (2023). The Role of Driving Teachers in the Implementation of the Independent Curriculum in Elementary Schools. Al-Madrasah: Jurnal Pendidikan Madrasah Ibtidaiyah, 7(1), 330.</w:t>
      </w:r>
    </w:p>
    <w:p w14:paraId="48946253" w14:textId="77777777" w:rsidR="0089156B" w:rsidRPr="0089156B" w:rsidRDefault="0089156B" w:rsidP="0089156B">
      <w:pPr>
        <w:pStyle w:val="ListParagraph"/>
        <w:numPr>
          <w:ilvl w:val="0"/>
          <w:numId w:val="1"/>
        </w:numPr>
        <w:spacing w:after="0" w:line="240" w:lineRule="auto"/>
        <w:rPr>
          <w:rFonts w:ascii="Cambria" w:hAnsi="Cambria" w:cs="Times New Roman"/>
          <w:noProof/>
          <w:sz w:val="24"/>
          <w:szCs w:val="24"/>
        </w:rPr>
      </w:pPr>
      <w:r w:rsidRPr="0089156B">
        <w:rPr>
          <w:rFonts w:ascii="Cambria" w:hAnsi="Cambria" w:cs="Times New Roman"/>
          <w:noProof/>
          <w:sz w:val="24"/>
          <w:szCs w:val="24"/>
        </w:rPr>
        <w:t>Nopas, D., &amp; Kerdsomboon, C. (2024). Fostering Global Competence in Teacher Education: Curriculum Integration and Professional Development. Higher Education Studies, 14(2), 1. https://doi.org/10.5539/hes.v14n2p1</w:t>
      </w:r>
    </w:p>
    <w:p w14:paraId="7F8CD501" w14:textId="77777777" w:rsidR="0089156B" w:rsidRPr="0089156B" w:rsidRDefault="0089156B" w:rsidP="0089156B">
      <w:pPr>
        <w:pStyle w:val="ListParagraph"/>
        <w:numPr>
          <w:ilvl w:val="0"/>
          <w:numId w:val="1"/>
        </w:numPr>
        <w:spacing w:after="0" w:line="240" w:lineRule="auto"/>
        <w:jc w:val="both"/>
        <w:rPr>
          <w:rFonts w:ascii="Cambria" w:hAnsi="Cambria" w:cs="Times New Roman"/>
          <w:noProof/>
          <w:sz w:val="24"/>
          <w:szCs w:val="24"/>
        </w:rPr>
      </w:pPr>
      <w:r w:rsidRPr="0089156B">
        <w:rPr>
          <w:rFonts w:ascii="Cambria" w:hAnsi="Cambria" w:cs="Times New Roman"/>
          <w:noProof/>
          <w:sz w:val="24"/>
          <w:szCs w:val="24"/>
        </w:rPr>
        <w:lastRenderedPageBreak/>
        <w:t>Nugroho, A. R., Lumbantobing, S. S., Konseling, B., Keguruan, F., &amp; Kristen, U. (2025). Perkembangan Dan Model Kurikulum Pendidikan. 14(1), 1–17.</w:t>
      </w:r>
    </w:p>
    <w:p w14:paraId="58D472CF" w14:textId="112E07A4" w:rsidR="0089156B" w:rsidRPr="0089156B" w:rsidRDefault="0089156B" w:rsidP="0089156B">
      <w:pPr>
        <w:pStyle w:val="ListParagraph"/>
        <w:numPr>
          <w:ilvl w:val="0"/>
          <w:numId w:val="1"/>
        </w:numPr>
        <w:spacing w:after="0" w:line="240" w:lineRule="auto"/>
        <w:jc w:val="both"/>
        <w:rPr>
          <w:rFonts w:ascii="Cambria" w:hAnsi="Cambria" w:cs="Times New Roman"/>
          <w:noProof/>
          <w:sz w:val="24"/>
          <w:szCs w:val="24"/>
          <w:lang w:val="pt-PT"/>
        </w:rPr>
      </w:pPr>
      <w:r w:rsidRPr="0089156B">
        <w:rPr>
          <w:rFonts w:ascii="Cambria" w:hAnsi="Cambria" w:cs="Times New Roman"/>
          <w:noProof/>
          <w:sz w:val="24"/>
          <w:szCs w:val="24"/>
        </w:rPr>
        <w:t>Qomariyah</w:t>
      </w:r>
      <w:r w:rsidRPr="0089156B">
        <w:rPr>
          <w:rFonts w:ascii="Cambria" w:hAnsi="Cambria" w:cs="Times New Roman"/>
          <w:noProof/>
          <w:sz w:val="24"/>
          <w:szCs w:val="24"/>
          <w:lang w:val="pt-PT"/>
        </w:rPr>
        <w:t>, N., Azizah, S., Islam, I. A., &amp; Madura, N. (2025). ENTITA: Jurnal Pendidikan Ilmu Pengetahuan Sosial dan Ilmu-Ilmu Sosial Special Edition Renaisans: 1 st International Conference of Social Studies Transformasi Pendidikan Sosial berbas. https://doi.org/10.19105/ejpis.v1i.19220</w:t>
      </w:r>
    </w:p>
    <w:p w14:paraId="69455B52" w14:textId="77777777" w:rsidR="0089156B" w:rsidRPr="0089156B" w:rsidRDefault="0089156B" w:rsidP="0089156B">
      <w:pPr>
        <w:pStyle w:val="ListParagraph"/>
        <w:numPr>
          <w:ilvl w:val="0"/>
          <w:numId w:val="1"/>
        </w:numPr>
        <w:spacing w:after="0" w:line="240" w:lineRule="auto"/>
        <w:jc w:val="both"/>
        <w:rPr>
          <w:rFonts w:ascii="Cambria" w:hAnsi="Cambria" w:cs="Times New Roman"/>
          <w:noProof/>
          <w:sz w:val="24"/>
          <w:szCs w:val="24"/>
        </w:rPr>
      </w:pPr>
      <w:r w:rsidRPr="0089156B">
        <w:rPr>
          <w:rFonts w:ascii="Cambria" w:hAnsi="Cambria" w:cs="Times New Roman"/>
          <w:noProof/>
          <w:sz w:val="24"/>
          <w:szCs w:val="24"/>
        </w:rPr>
        <w:t>Ramadianti</w:t>
      </w:r>
      <w:r w:rsidRPr="0089156B">
        <w:rPr>
          <w:rFonts w:ascii="Cambria" w:hAnsi="Cambria" w:cs="Times New Roman"/>
          <w:noProof/>
          <w:sz w:val="24"/>
          <w:szCs w:val="24"/>
          <w:lang w:val="pt-PT"/>
        </w:rPr>
        <w:t xml:space="preserve">, A. A. (2021). Analisis Global Implementasi Kurikulum Cambridge dalam Dunia Pendidikan. </w:t>
      </w:r>
      <w:r w:rsidRPr="0089156B">
        <w:rPr>
          <w:rFonts w:ascii="Cambria" w:hAnsi="Cambria" w:cs="Times New Roman"/>
          <w:noProof/>
          <w:sz w:val="24"/>
          <w:szCs w:val="24"/>
        </w:rPr>
        <w:t>Ecodunamika, 4(2), 7144.</w:t>
      </w:r>
    </w:p>
    <w:p w14:paraId="24CD36C0" w14:textId="77777777" w:rsidR="0089156B" w:rsidRPr="0089156B" w:rsidRDefault="0089156B" w:rsidP="0089156B">
      <w:pPr>
        <w:pStyle w:val="ListParagraph"/>
        <w:numPr>
          <w:ilvl w:val="0"/>
          <w:numId w:val="1"/>
        </w:numPr>
        <w:spacing w:after="0" w:line="240" w:lineRule="auto"/>
        <w:jc w:val="both"/>
        <w:rPr>
          <w:rFonts w:ascii="Cambria" w:hAnsi="Cambria" w:cs="Times New Roman"/>
          <w:noProof/>
          <w:sz w:val="24"/>
          <w:szCs w:val="24"/>
        </w:rPr>
      </w:pPr>
      <w:r w:rsidRPr="0089156B">
        <w:rPr>
          <w:rFonts w:ascii="Cambria" w:hAnsi="Cambria" w:cs="Times New Roman"/>
          <w:noProof/>
          <w:sz w:val="24"/>
          <w:szCs w:val="24"/>
        </w:rPr>
        <w:t>Ruaya, P. P., Kang, H. X., Reader, S., &amp; Hidayat, T. (2022). International Journal of Science Education and Cultural Studies Role of Teacher Competence to Implement the Independent Curriculum. International Journal of Science Education and Cultural Studies, 1(2), 94–108. https://doi.org/10.58291/ijsecs.v1n2.48</w:t>
      </w:r>
    </w:p>
    <w:p w14:paraId="6FBA350B" w14:textId="77777777" w:rsidR="0089156B" w:rsidRPr="0089156B" w:rsidRDefault="0089156B" w:rsidP="0089156B">
      <w:pPr>
        <w:pStyle w:val="ListParagraph"/>
        <w:numPr>
          <w:ilvl w:val="0"/>
          <w:numId w:val="1"/>
        </w:numPr>
        <w:spacing w:after="0" w:line="240" w:lineRule="auto"/>
        <w:jc w:val="both"/>
        <w:rPr>
          <w:rFonts w:ascii="Cambria" w:hAnsi="Cambria" w:cs="Times New Roman"/>
          <w:noProof/>
          <w:sz w:val="24"/>
          <w:szCs w:val="24"/>
        </w:rPr>
      </w:pPr>
      <w:r w:rsidRPr="0089156B">
        <w:rPr>
          <w:rFonts w:ascii="Cambria" w:hAnsi="Cambria" w:cs="Times New Roman"/>
          <w:noProof/>
          <w:sz w:val="24"/>
          <w:szCs w:val="24"/>
        </w:rPr>
        <w:t>Selvi, K. (2010). Teachers ’ Competencies. VII(1), 167–176.</w:t>
      </w:r>
    </w:p>
    <w:p w14:paraId="5591EA45" w14:textId="77777777" w:rsidR="0089156B" w:rsidRPr="0089156B" w:rsidRDefault="0089156B" w:rsidP="0089156B">
      <w:pPr>
        <w:pStyle w:val="ListParagraph"/>
        <w:numPr>
          <w:ilvl w:val="0"/>
          <w:numId w:val="1"/>
        </w:numPr>
        <w:spacing w:after="0" w:line="240" w:lineRule="auto"/>
        <w:ind w:hanging="436"/>
        <w:jc w:val="both"/>
        <w:rPr>
          <w:rFonts w:ascii="Cambria" w:hAnsi="Cambria" w:cs="Times New Roman"/>
          <w:noProof/>
          <w:sz w:val="24"/>
          <w:szCs w:val="24"/>
        </w:rPr>
      </w:pPr>
      <w:r w:rsidRPr="0089156B">
        <w:rPr>
          <w:rFonts w:ascii="Cambria" w:hAnsi="Cambria" w:cs="Times New Roman"/>
          <w:noProof/>
          <w:sz w:val="24"/>
          <w:szCs w:val="24"/>
          <w:lang w:val="pt-PT"/>
        </w:rPr>
        <w:t xml:space="preserve">Sutanto, S. (2024). Transformasi Pendidikan di Sekolah Dasar: Peran Guru dalam Mengimplementasikan Kurikulum Merdeka di Indonesia. </w:t>
      </w:r>
      <w:r w:rsidRPr="0089156B">
        <w:rPr>
          <w:rFonts w:ascii="Cambria" w:hAnsi="Cambria" w:cs="Times New Roman"/>
          <w:noProof/>
          <w:sz w:val="24"/>
          <w:szCs w:val="24"/>
        </w:rPr>
        <w:t>Jurnal Guru Sekolah Dasar, 1(1), 69–76. https://doi.org/10.70277/jgsd.v1i1.0009</w:t>
      </w:r>
    </w:p>
    <w:p w14:paraId="6467B06F" w14:textId="77777777" w:rsidR="0089156B" w:rsidRPr="0089156B" w:rsidRDefault="0089156B" w:rsidP="0089156B">
      <w:pPr>
        <w:pStyle w:val="ListParagraph"/>
        <w:numPr>
          <w:ilvl w:val="0"/>
          <w:numId w:val="1"/>
        </w:numPr>
        <w:spacing w:after="0" w:line="240" w:lineRule="auto"/>
        <w:ind w:hanging="436"/>
        <w:jc w:val="both"/>
        <w:rPr>
          <w:rFonts w:ascii="Cambria" w:hAnsi="Cambria" w:cs="Times New Roman"/>
          <w:noProof/>
          <w:sz w:val="24"/>
          <w:szCs w:val="24"/>
        </w:rPr>
      </w:pPr>
      <w:r w:rsidRPr="0089156B">
        <w:rPr>
          <w:rFonts w:ascii="Cambria" w:hAnsi="Cambria" w:cs="Times New Roman"/>
          <w:noProof/>
          <w:sz w:val="24"/>
          <w:szCs w:val="24"/>
        </w:rPr>
        <w:t>Yao, K. C., Tseng, F. L., &amp; Chan, C. C. (2025). Transforming Education: The Impact of Integrating International Education into School Curricula on International Literacy and Learning Attitudes. Sustainability (Switzerland), 17(10), 1–19. https://doi.org/10.3390/su17104462</w:t>
      </w:r>
    </w:p>
    <w:p w14:paraId="264D4DF4" w14:textId="3DF2A5D6" w:rsidR="007A78C4" w:rsidRPr="007A78C4" w:rsidRDefault="007A78C4" w:rsidP="0089156B">
      <w:pPr>
        <w:pStyle w:val="ListParagraph"/>
        <w:spacing w:after="0" w:line="240" w:lineRule="auto"/>
        <w:jc w:val="both"/>
        <w:rPr>
          <w:rFonts w:ascii="Cambria" w:hAnsi="Cambria" w:cs="Times New Roman"/>
          <w:noProof/>
          <w:sz w:val="24"/>
          <w:szCs w:val="24"/>
        </w:rPr>
      </w:pPr>
    </w:p>
    <w:p w14:paraId="7EB450F8" w14:textId="77777777" w:rsidR="007A78C4" w:rsidRPr="00D26D2D" w:rsidRDefault="007A78C4" w:rsidP="007A78C4">
      <w:pPr>
        <w:ind w:left="720"/>
        <w:jc w:val="both"/>
        <w:rPr>
          <w:rFonts w:ascii="Times New Roman" w:hAnsi="Times New Roman" w:cs="Times New Roman"/>
          <w:lang w:val="en-US"/>
        </w:rPr>
      </w:pPr>
    </w:p>
    <w:p w14:paraId="2A7537A6" w14:textId="607F116C" w:rsidR="00B40B77" w:rsidRDefault="00B40B77" w:rsidP="007A78C4">
      <w:pPr>
        <w:spacing w:after="0" w:line="240" w:lineRule="auto"/>
        <w:rPr>
          <w:rFonts w:ascii="Cambria" w:hAnsi="Cambria"/>
          <w:sz w:val="24"/>
          <w:szCs w:val="24"/>
          <w:lang w:val="en-ID"/>
        </w:rPr>
      </w:pPr>
    </w:p>
    <w:sectPr w:rsidR="00B40B77" w:rsidSect="001046D8">
      <w:headerReference w:type="even" r:id="rId8"/>
      <w:headerReference w:type="default" r:id="rId9"/>
      <w:footerReference w:type="even" r:id="rId10"/>
      <w:footerReference w:type="default" r:id="rId11"/>
      <w:headerReference w:type="first" r:id="rId12"/>
      <w:footerReference w:type="first" r:id="rId13"/>
      <w:pgSz w:w="11907" w:h="16840"/>
      <w:pgMar w:top="1418" w:right="1418" w:bottom="1418" w:left="1418" w:header="567" w:footer="709" w:gutter="0"/>
      <w:pgNumType w:start="13"/>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0EE90" w14:textId="77777777" w:rsidR="0067707C" w:rsidRDefault="0067707C">
      <w:pPr>
        <w:spacing w:after="0" w:line="240" w:lineRule="auto"/>
      </w:pPr>
      <w:r>
        <w:separator/>
      </w:r>
    </w:p>
  </w:endnote>
  <w:endnote w:type="continuationSeparator" w:id="0">
    <w:p w14:paraId="01CBDB2F" w14:textId="77777777" w:rsidR="0067707C" w:rsidRDefault="00677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857B6610-F7BD-488D-B6D8-80958E9AB815}"/>
    <w:embedBold r:id="rId2" w:fontKey="{08F246B1-EC0B-4EF1-B025-DCDCDECD3616}"/>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embedRegular r:id="rId3" w:fontKey="{E0C58B09-9979-447B-97B8-B784407625DD}"/>
    <w:embedBold r:id="rId4" w:fontKey="{4198504F-C9F5-44F2-B3E2-C0416E256BD9}"/>
    <w:embedItalic r:id="rId5" w:fontKey="{62960BC3-5DA4-4451-9215-BDDEB90035C7}"/>
  </w:font>
  <w:font w:name="Aptos Display">
    <w:altName w:val="Calibri"/>
    <w:charset w:val="00"/>
    <w:family w:val="swiss"/>
    <w:pitch w:val="variable"/>
    <w:sig w:usb0="20000287" w:usb1="00000003" w:usb2="00000000" w:usb3="00000000" w:csb0="0000019F" w:csb1="00000000"/>
    <w:embedRegular r:id="rId6" w:fontKey="{6A04DC69-A4F6-4F6D-A6AE-F56F9E97D92A}"/>
  </w:font>
  <w:font w:name="DengXian Light">
    <w:altName w:val="等线 Light"/>
    <w:panose1 w:val="02010600030101010101"/>
    <w:charset w:val="86"/>
    <w:family w:val="auto"/>
    <w:pitch w:val="variable"/>
    <w:sig w:usb0="A00002BF" w:usb1="38CF7CFA" w:usb2="00000016" w:usb3="00000000" w:csb0="0004000F" w:csb1="00000000"/>
  </w:font>
  <w:font w:name="Arial Nova Cond">
    <w:charset w:val="00"/>
    <w:family w:val="swiss"/>
    <w:pitch w:val="variable"/>
    <w:sig w:usb0="2000028F" w:usb1="00000002" w:usb2="00000000" w:usb3="00000000" w:csb0="0000019F" w:csb1="00000000"/>
    <w:embedRegular r:id="rId7" w:fontKey="{22ACEE89-73A9-405C-A9A3-F66EDD870F9A}"/>
  </w:font>
  <w:font w:name="Verdana">
    <w:panose1 w:val="020B0604030504040204"/>
    <w:charset w:val="00"/>
    <w:family w:val="swiss"/>
    <w:pitch w:val="variable"/>
    <w:sig w:usb0="A00006FF" w:usb1="4000205B" w:usb2="00000010" w:usb3="00000000" w:csb0="0000019F" w:csb1="00000000"/>
    <w:embedRegular r:id="rId8" w:fontKey="{1302E6FA-7180-48B7-94C9-EAC154B21C8A}"/>
    <w:embedBold r:id="rId9" w:fontKey="{13E63BA5-FEA9-44D2-9552-43F8933A736F}"/>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DFCE" w14:textId="698A33A5" w:rsidR="00D21A43" w:rsidRPr="00F64340" w:rsidRDefault="00F169AF" w:rsidP="0073552C">
    <w:pPr>
      <w:pBdr>
        <w:top w:val="nil"/>
        <w:left w:val="nil"/>
        <w:bottom w:val="nil"/>
        <w:right w:val="nil"/>
        <w:between w:val="nil"/>
      </w:pBdr>
      <w:tabs>
        <w:tab w:val="center" w:pos="4513"/>
        <w:tab w:val="right" w:pos="9026"/>
      </w:tabs>
      <w:spacing w:after="0" w:line="240" w:lineRule="auto"/>
      <w:jc w:val="right"/>
      <w:rPr>
        <w:rFonts w:ascii="Cambria" w:eastAsia="Arial" w:hAnsi="Cambria" w:cs="Arial"/>
        <w:color w:val="000000"/>
      </w:rPr>
    </w:pPr>
    <w:r w:rsidRPr="00F64340">
      <w:rPr>
        <w:rFonts w:ascii="Cambria" w:eastAsia="Arial" w:hAnsi="Cambria" w:cs="Arial"/>
        <w:color w:val="000000"/>
      </w:rPr>
      <w:fldChar w:fldCharType="begin"/>
    </w:r>
    <w:r w:rsidRPr="00F64340">
      <w:rPr>
        <w:rFonts w:ascii="Cambria" w:eastAsia="Arial" w:hAnsi="Cambria" w:cs="Arial"/>
        <w:color w:val="000000"/>
      </w:rPr>
      <w:instrText>PAGE</w:instrText>
    </w:r>
    <w:r w:rsidRPr="00F64340">
      <w:rPr>
        <w:rFonts w:ascii="Cambria" w:eastAsia="Arial" w:hAnsi="Cambria" w:cs="Arial"/>
        <w:color w:val="000000"/>
      </w:rPr>
      <w:fldChar w:fldCharType="separate"/>
    </w:r>
    <w:r w:rsidR="009B62DA" w:rsidRPr="00F64340">
      <w:rPr>
        <w:rFonts w:ascii="Cambria" w:eastAsia="Arial" w:hAnsi="Cambria" w:cs="Arial"/>
        <w:noProof/>
        <w:color w:val="000000"/>
      </w:rPr>
      <w:t>2</w:t>
    </w:r>
    <w:r w:rsidRPr="00F64340">
      <w:rPr>
        <w:rFonts w:ascii="Cambria" w:eastAsia="Arial" w:hAnsi="Cambria" w:cs="Arial"/>
        <w:color w:val="000000"/>
      </w:rPr>
      <w:fldChar w:fldCharType="end"/>
    </w:r>
    <w:r w:rsidRPr="00F64340">
      <w:rPr>
        <w:rFonts w:ascii="Cambria" w:hAnsi="Cambria"/>
        <w:color w:val="000000"/>
      </w:rPr>
      <w:t xml:space="preserve"> </w:t>
    </w:r>
    <w:r w:rsidRPr="00F64340">
      <w:rPr>
        <w:rFonts w:ascii="Cambria" w:hAnsi="Cambria"/>
        <w:color w:val="000000"/>
      </w:rPr>
      <w:tab/>
    </w:r>
    <w:r w:rsidRPr="00F64340">
      <w:rPr>
        <w:rFonts w:ascii="Cambria" w:hAnsi="Cambria"/>
        <w:color w:val="000000"/>
      </w:rPr>
      <w:tab/>
    </w:r>
    <w:hyperlink r:id="r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F244A" w14:textId="6DA7FC86" w:rsidR="00954CB5" w:rsidRDefault="00084084">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Cambria" w:eastAsia="Cambria" w:hAnsi="Cambria" w:cs="Cambria"/>
        <w:noProof/>
      </w:rPr>
      <w:drawing>
        <wp:inline distT="114300" distB="114300" distL="114300" distR="114300" wp14:anchorId="614ADA22" wp14:editId="0F9F3188">
          <wp:extent cx="741274" cy="292608"/>
          <wp:effectExtent l="0" t="0" r="1905" b="0"/>
          <wp:docPr id="5" name="image7.jpg">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9" name="image7.jpg">
                    <a:hlinkClick r:id="rId1"/>
                  </pic:cNvPr>
                  <pic:cNvPicPr preferRelativeResize="0"/>
                </pic:nvPicPr>
                <pic:blipFill>
                  <a:blip r:embed="rId2"/>
                  <a:srcRect/>
                  <a:stretch>
                    <a:fillRect/>
                  </a:stretch>
                </pic:blipFill>
                <pic:spPr>
                  <a:xfrm>
                    <a:off x="0" y="0"/>
                    <a:ext cx="741274" cy="292608"/>
                  </a:xfrm>
                  <a:prstGeom prst="rect">
                    <a:avLst/>
                  </a:prstGeom>
                  <a:ln/>
                </pic:spPr>
              </pic:pic>
            </a:graphicData>
          </a:graphic>
        </wp:inline>
      </w:drawing>
    </w:r>
    <w:r w:rsidR="00CC13AB">
      <w:rPr>
        <w:rFonts w:ascii="Arial" w:eastAsia="Arial" w:hAnsi="Arial" w:cs="Arial"/>
        <w:color w:val="000000"/>
      </w:rPr>
      <w:tab/>
    </w:r>
    <w:r w:rsidR="00CC13AB">
      <w:rPr>
        <w:rFonts w:ascii="Arial" w:eastAsia="Arial" w:hAnsi="Arial" w:cs="Arial"/>
        <w:color w:val="000000"/>
      </w:rPr>
      <w:tab/>
    </w:r>
    <w:r w:rsidR="00CC13AB" w:rsidRPr="00F64340">
      <w:rPr>
        <w:rFonts w:ascii="Cambria" w:eastAsia="Arial" w:hAnsi="Cambria" w:cs="Arial"/>
        <w:color w:val="000000"/>
      </w:rPr>
      <w:fldChar w:fldCharType="begin"/>
    </w:r>
    <w:r w:rsidR="00CC13AB" w:rsidRPr="00F64340">
      <w:rPr>
        <w:rFonts w:ascii="Cambria" w:eastAsia="Arial" w:hAnsi="Cambria" w:cs="Arial"/>
        <w:color w:val="000000"/>
      </w:rPr>
      <w:instrText>PAGE</w:instrText>
    </w:r>
    <w:r w:rsidR="00CC13AB" w:rsidRPr="00F64340">
      <w:rPr>
        <w:rFonts w:ascii="Cambria" w:eastAsia="Arial" w:hAnsi="Cambria" w:cs="Arial"/>
        <w:color w:val="000000"/>
      </w:rPr>
      <w:fldChar w:fldCharType="separate"/>
    </w:r>
    <w:r w:rsidR="009B62DA" w:rsidRPr="00F64340">
      <w:rPr>
        <w:rFonts w:ascii="Cambria" w:eastAsia="Arial" w:hAnsi="Cambria" w:cs="Arial"/>
        <w:noProof/>
        <w:color w:val="000000"/>
      </w:rPr>
      <w:t>1</w:t>
    </w:r>
    <w:r w:rsidR="00CC13AB" w:rsidRPr="00F64340">
      <w:rPr>
        <w:rFonts w:ascii="Cambria" w:eastAsia="Arial" w:hAnsi="Cambria"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9251341"/>
      <w:docPartObj>
        <w:docPartGallery w:val="Page Numbers (Bottom of Page)"/>
        <w:docPartUnique/>
      </w:docPartObj>
    </w:sdtPr>
    <w:sdtEndPr>
      <w:rPr>
        <w:rFonts w:ascii="Cambria" w:hAnsi="Cambria"/>
        <w:noProof/>
      </w:rPr>
    </w:sdtEndPr>
    <w:sdtContent>
      <w:p w14:paraId="65646A51" w14:textId="7FA0C50A" w:rsidR="00264EAA" w:rsidRPr="00F64340" w:rsidRDefault="00264EAA">
        <w:pPr>
          <w:pStyle w:val="Footer"/>
          <w:jc w:val="center"/>
          <w:rPr>
            <w:rFonts w:ascii="Cambria" w:hAnsi="Cambria"/>
          </w:rPr>
        </w:pPr>
        <w:r w:rsidRPr="00F64340">
          <w:rPr>
            <w:rFonts w:ascii="Cambria" w:hAnsi="Cambria"/>
          </w:rPr>
          <w:fldChar w:fldCharType="begin"/>
        </w:r>
        <w:r w:rsidRPr="00F64340">
          <w:rPr>
            <w:rFonts w:ascii="Cambria" w:hAnsi="Cambria"/>
          </w:rPr>
          <w:instrText xml:space="preserve"> PAGE   \* MERGEFORMAT </w:instrText>
        </w:r>
        <w:r w:rsidRPr="00F64340">
          <w:rPr>
            <w:rFonts w:ascii="Cambria" w:hAnsi="Cambria"/>
          </w:rPr>
          <w:fldChar w:fldCharType="separate"/>
        </w:r>
        <w:r w:rsidRPr="00F64340">
          <w:rPr>
            <w:rFonts w:ascii="Cambria" w:hAnsi="Cambria"/>
            <w:noProof/>
          </w:rPr>
          <w:t>2</w:t>
        </w:r>
        <w:r w:rsidRPr="00F64340">
          <w:rPr>
            <w:rFonts w:ascii="Cambria" w:hAnsi="Cambria"/>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BF5A4" w14:textId="77777777" w:rsidR="0067707C" w:rsidRDefault="0067707C">
      <w:pPr>
        <w:spacing w:after="0" w:line="240" w:lineRule="auto"/>
      </w:pPr>
      <w:r>
        <w:separator/>
      </w:r>
    </w:p>
  </w:footnote>
  <w:footnote w:type="continuationSeparator" w:id="0">
    <w:p w14:paraId="3FD72A8E" w14:textId="77777777" w:rsidR="0067707C" w:rsidRDefault="006770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05FA0" w14:textId="60255F8C" w:rsidR="00954CB5" w:rsidRPr="00D34BD4" w:rsidRDefault="00F169AF" w:rsidP="00D34BD4">
    <w:pPr>
      <w:pBdr>
        <w:top w:val="nil"/>
        <w:left w:val="nil"/>
        <w:bottom w:val="nil"/>
        <w:right w:val="nil"/>
        <w:between w:val="nil"/>
      </w:pBdr>
      <w:tabs>
        <w:tab w:val="center" w:pos="4513"/>
        <w:tab w:val="right" w:pos="9026"/>
      </w:tabs>
      <w:spacing w:after="0" w:line="240" w:lineRule="auto"/>
      <w:rPr>
        <w:rFonts w:ascii="Arial" w:eastAsia="Arial" w:hAnsi="Arial" w:cs="Arial"/>
        <w:bCs/>
        <w:color w:val="000000"/>
        <w:lang w:val="en-US"/>
      </w:rPr>
    </w:pPr>
    <w:r w:rsidRPr="00D34BD4">
      <w:rPr>
        <w:rFonts w:ascii="Arial" w:eastAsia="Arial" w:hAnsi="Arial" w:cs="Arial"/>
        <w:bCs/>
        <w:color w:val="000000"/>
      </w:rPr>
      <w:t xml:space="preserve">Vol. </w:t>
    </w:r>
    <w:r w:rsidR="000432FE" w:rsidRPr="00D34BD4">
      <w:rPr>
        <w:rFonts w:ascii="Arial" w:eastAsia="Arial" w:hAnsi="Arial" w:cs="Arial"/>
        <w:bCs/>
        <w:color w:val="000000"/>
      </w:rPr>
      <w:t>1</w:t>
    </w:r>
    <w:r w:rsidR="00B30E92" w:rsidRPr="00D34BD4">
      <w:rPr>
        <w:rFonts w:ascii="Arial" w:eastAsia="Arial" w:hAnsi="Arial" w:cs="Arial"/>
        <w:bCs/>
        <w:color w:val="000000"/>
        <w:lang w:val="en-US"/>
      </w:rPr>
      <w:t>,</w:t>
    </w:r>
    <w:r w:rsidRPr="00D34BD4">
      <w:rPr>
        <w:rFonts w:ascii="Arial" w:eastAsia="Arial" w:hAnsi="Arial" w:cs="Arial"/>
        <w:bCs/>
        <w:color w:val="000000"/>
      </w:rPr>
      <w:t xml:space="preserve">  No. 1</w:t>
    </w:r>
    <w:r w:rsidR="00B30E92" w:rsidRPr="00D34BD4">
      <w:rPr>
        <w:rFonts w:ascii="Arial" w:eastAsia="Arial" w:hAnsi="Arial" w:cs="Arial"/>
        <w:bCs/>
        <w:color w:val="000000"/>
        <w:lang w:val="en-US"/>
      </w:rPr>
      <w:t>,</w:t>
    </w:r>
    <w:r w:rsidRPr="00D34BD4">
      <w:rPr>
        <w:rFonts w:ascii="Arial" w:eastAsia="Arial" w:hAnsi="Arial" w:cs="Arial"/>
        <w:bCs/>
      </w:rPr>
      <w:t xml:space="preserve"> </w:t>
    </w:r>
    <w:r w:rsidR="00B30E92" w:rsidRPr="00D34BD4">
      <w:rPr>
        <w:rFonts w:ascii="Arial" w:eastAsia="Arial" w:hAnsi="Arial" w:cs="Arial"/>
        <w:bCs/>
        <w:lang w:val="en-US"/>
      </w:rPr>
      <w:t>M</w:t>
    </w:r>
    <w:r w:rsidR="008E6BB7">
      <w:rPr>
        <w:rFonts w:ascii="Arial" w:eastAsia="Arial" w:hAnsi="Arial" w:cs="Arial"/>
        <w:bCs/>
        <w:lang w:val="en-US"/>
      </w:rPr>
      <w:t>ei</w:t>
    </w:r>
    <w:r w:rsidRPr="00D34BD4">
      <w:rPr>
        <w:rFonts w:ascii="Arial" w:eastAsia="Arial" w:hAnsi="Arial" w:cs="Arial"/>
        <w:bCs/>
      </w:rPr>
      <w:t xml:space="preserve"> 202</w:t>
    </w:r>
    <w:r w:rsidR="000E1C51" w:rsidRPr="00D34BD4">
      <w:rPr>
        <w:rFonts w:ascii="Arial" w:eastAsia="Arial" w:hAnsi="Arial" w:cs="Arial"/>
        <w:bCs/>
        <w:lang w:val="en-US"/>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1E02" w14:textId="1953F053" w:rsidR="00264EAA" w:rsidRPr="009B62DA" w:rsidRDefault="004C3019" w:rsidP="004C3019">
    <w:pPr>
      <w:pBdr>
        <w:top w:val="nil"/>
        <w:left w:val="nil"/>
        <w:bottom w:val="nil"/>
        <w:right w:val="nil"/>
        <w:between w:val="nil"/>
      </w:pBdr>
      <w:tabs>
        <w:tab w:val="center" w:pos="4513"/>
        <w:tab w:val="right" w:pos="9026"/>
      </w:tabs>
      <w:spacing w:after="0" w:line="240" w:lineRule="auto"/>
      <w:rPr>
        <w:rFonts w:ascii="Arial Nova Cond" w:eastAsia="Arial" w:hAnsi="Arial Nova Cond" w:cs="Arial"/>
        <w:color w:val="000000"/>
      </w:rPr>
    </w:pPr>
    <w:r w:rsidRPr="004C3019">
      <w:rPr>
        <w:rFonts w:ascii="Arial Nova Cond" w:eastAsia="Arial" w:hAnsi="Arial Nova Cond" w:cs="Arial"/>
        <w:color w:val="000000"/>
      </w:rPr>
      <w:t>Global Journal of Educational Theory  and Practice (GJETP)</w:t>
    </w:r>
    <w:r w:rsidR="00C63B23">
      <w:rPr>
        <w:rFonts w:ascii="Arial Nova Cond" w:eastAsia="Arial" w:hAnsi="Arial Nova Cond" w:cs="Arial"/>
        <w:noProof/>
        <w:color w:val="000000"/>
      </w:rPr>
      <mc:AlternateContent>
        <mc:Choice Requires="wps">
          <w:drawing>
            <wp:anchor distT="0" distB="0" distL="114300" distR="114300" simplePos="0" relativeHeight="251662336" behindDoc="0" locked="0" layoutInCell="1" allowOverlap="1" wp14:anchorId="0CC5E81E" wp14:editId="22362FC1">
              <wp:simplePos x="0" y="0"/>
              <wp:positionH relativeFrom="column">
                <wp:posOffset>19050</wp:posOffset>
              </wp:positionH>
              <wp:positionV relativeFrom="paragraph">
                <wp:posOffset>351184</wp:posOffset>
              </wp:positionV>
              <wp:extent cx="5857875" cy="0"/>
              <wp:effectExtent l="0" t="19050" r="28575" b="19050"/>
              <wp:wrapNone/>
              <wp:docPr id="838304323" name="Straight Connector 1"/>
              <wp:cNvGraphicFramePr/>
              <a:graphic xmlns:a="http://schemas.openxmlformats.org/drawingml/2006/main">
                <a:graphicData uri="http://schemas.microsoft.com/office/word/2010/wordprocessingShape">
                  <wps:wsp>
                    <wps:cNvCnPr/>
                    <wps:spPr>
                      <a:xfrm>
                        <a:off x="0" y="0"/>
                        <a:ext cx="5857875" cy="0"/>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6FB835"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pt,27.65pt" to="462.7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" strokecolor="#0070c0" strokeweight="2.2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56612" w14:textId="132AD77C" w:rsidR="00037C64" w:rsidRPr="00FE4311" w:rsidRDefault="007421FA" w:rsidP="00037C64">
    <w:pPr>
      <w:spacing w:after="0" w:line="240" w:lineRule="auto"/>
      <w:textDirection w:val="btLr"/>
      <w:rPr>
        <w:rFonts w:ascii="Arial" w:hAnsi="Arial" w:cs="Arial"/>
        <w:b/>
        <w:color w:val="C00000"/>
        <w:sz w:val="50"/>
        <w:szCs w:val="50"/>
        <w:lang w:val="en-US"/>
      </w:rPr>
    </w:pPr>
    <w:r w:rsidRPr="00FE4311">
      <w:rPr>
        <w:caps/>
        <w:noProof/>
        <w:color w:val="C00000"/>
      </w:rPr>
      <w:drawing>
        <wp:anchor distT="0" distB="0" distL="114300" distR="114300" simplePos="0" relativeHeight="251668480" behindDoc="1" locked="0" layoutInCell="1" allowOverlap="1" wp14:anchorId="65672311" wp14:editId="3E073945">
          <wp:simplePos x="0" y="0"/>
          <wp:positionH relativeFrom="column">
            <wp:posOffset>4639310</wp:posOffset>
          </wp:positionH>
          <wp:positionV relativeFrom="paragraph">
            <wp:posOffset>-205723</wp:posOffset>
          </wp:positionV>
          <wp:extent cx="1600200" cy="1256372"/>
          <wp:effectExtent l="0" t="0" r="0" b="1270"/>
          <wp:wrapNone/>
          <wp:docPr id="6" name="Picture 3" descr="A logo with a blue and black sphe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808385" name="Picture 3" descr="A logo with a blue and black sphere&#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12920" b="31632"/>
                  <a:stretch/>
                </pic:blipFill>
                <pic:spPr bwMode="auto">
                  <a:xfrm>
                    <a:off x="0" y="0"/>
                    <a:ext cx="1606271" cy="126113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E4311">
      <w:rPr>
        <w:rFonts w:ascii="Cambria" w:hAnsi="Cambria"/>
        <w:b/>
        <w:noProof/>
        <w:color w:val="C00000"/>
        <w:sz w:val="24"/>
        <w:szCs w:val="12"/>
        <w:lang w:val="en-US"/>
      </w:rPr>
      <w:drawing>
        <wp:anchor distT="0" distB="0" distL="114300" distR="114300" simplePos="0" relativeHeight="251665408" behindDoc="1" locked="0" layoutInCell="1" allowOverlap="1" wp14:anchorId="7622D22B" wp14:editId="61E87777">
          <wp:simplePos x="0" y="0"/>
          <wp:positionH relativeFrom="column">
            <wp:posOffset>-2984500</wp:posOffset>
          </wp:positionH>
          <wp:positionV relativeFrom="paragraph">
            <wp:posOffset>-278765</wp:posOffset>
          </wp:positionV>
          <wp:extent cx="1419225" cy="1419225"/>
          <wp:effectExtent l="0" t="0" r="9525"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311">
      <w:rPr>
        <w:noProof/>
        <w:color w:val="C00000"/>
        <w14:ligatures w14:val="standardContextual"/>
      </w:rPr>
      <w:drawing>
        <wp:anchor distT="0" distB="0" distL="114300" distR="114300" simplePos="0" relativeHeight="251666432" behindDoc="0" locked="0" layoutInCell="1" allowOverlap="1" wp14:anchorId="7A6E9B8D" wp14:editId="2C28411B">
          <wp:simplePos x="0" y="0"/>
          <wp:positionH relativeFrom="column">
            <wp:posOffset>7393940</wp:posOffset>
          </wp:positionH>
          <wp:positionV relativeFrom="paragraph">
            <wp:posOffset>-179070</wp:posOffset>
          </wp:positionV>
          <wp:extent cx="739775" cy="1109899"/>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9775" cy="1109899"/>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Hlk230641003"/>
    <w:r w:rsidRPr="00FE4311">
      <w:rPr>
        <w:rFonts w:ascii="Arial" w:hAnsi="Arial" w:cs="Arial"/>
        <w:b/>
        <w:color w:val="C00000"/>
        <w:sz w:val="50"/>
        <w:szCs w:val="50"/>
        <w:lang w:val="en-US"/>
      </w:rPr>
      <w:t>Global</w:t>
    </w:r>
    <w:r w:rsidR="00037C64" w:rsidRPr="00FE4311">
      <w:rPr>
        <w:rFonts w:ascii="Arial" w:hAnsi="Arial" w:cs="Arial"/>
        <w:b/>
        <w:color w:val="C00000"/>
        <w:sz w:val="50"/>
        <w:szCs w:val="50"/>
        <w:lang w:val="en-US"/>
      </w:rPr>
      <w:t xml:space="preserve"> Journal of </w:t>
    </w:r>
    <w:r w:rsidRPr="00FE4311">
      <w:rPr>
        <w:rFonts w:ascii="Arial" w:hAnsi="Arial" w:cs="Arial"/>
        <w:b/>
        <w:color w:val="C00000"/>
        <w:sz w:val="50"/>
        <w:szCs w:val="50"/>
        <w:lang w:val="en-US"/>
      </w:rPr>
      <w:t xml:space="preserve">Educational </w:t>
    </w:r>
    <w:r w:rsidRPr="00FE4311">
      <w:rPr>
        <w:rFonts w:ascii="Arial" w:hAnsi="Arial" w:cs="Arial"/>
        <w:b/>
        <w:color w:val="C00000"/>
        <w:sz w:val="50"/>
        <w:szCs w:val="50"/>
        <w:lang w:val="en-US"/>
      </w:rPr>
      <w:br/>
      <w:t>Theory  and Practice</w:t>
    </w:r>
    <w:r w:rsidR="00037C64" w:rsidRPr="00FE4311">
      <w:rPr>
        <w:rFonts w:ascii="Arial" w:hAnsi="Arial" w:cs="Arial"/>
        <w:b/>
        <w:color w:val="C00000"/>
        <w:sz w:val="50"/>
        <w:szCs w:val="50"/>
        <w:lang w:val="en-US"/>
      </w:rPr>
      <w:t xml:space="preserve"> (G</w:t>
    </w:r>
    <w:r w:rsidRPr="00FE4311">
      <w:rPr>
        <w:rFonts w:ascii="Arial" w:hAnsi="Arial" w:cs="Arial"/>
        <w:b/>
        <w:color w:val="C00000"/>
        <w:sz w:val="50"/>
        <w:szCs w:val="50"/>
        <w:lang w:val="en-US"/>
      </w:rPr>
      <w:t>JETP</w:t>
    </w:r>
    <w:r w:rsidR="00037C64" w:rsidRPr="00FE4311">
      <w:rPr>
        <w:rFonts w:ascii="Arial" w:hAnsi="Arial" w:cs="Arial"/>
        <w:b/>
        <w:color w:val="C00000"/>
        <w:sz w:val="50"/>
        <w:szCs w:val="50"/>
        <w:lang w:val="en-US"/>
      </w:rPr>
      <w:t>)</w:t>
    </w:r>
    <w:bookmarkEnd w:id="0"/>
  </w:p>
  <w:p w14:paraId="219D344F" w14:textId="1BCA9984" w:rsidR="00037C64" w:rsidRPr="007421FA" w:rsidRDefault="00037C64" w:rsidP="00037C64">
    <w:pPr>
      <w:spacing w:after="0" w:line="240" w:lineRule="auto"/>
      <w:textDirection w:val="btLr"/>
      <w:rPr>
        <w:rFonts w:ascii="Arial" w:hAnsi="Arial" w:cs="Arial"/>
        <w:b/>
        <w:color w:val="000000"/>
        <w:sz w:val="50"/>
        <w:szCs w:val="50"/>
        <w:lang w:val="pt-PT"/>
      </w:rPr>
    </w:pPr>
    <w:r w:rsidRPr="008249FF">
      <w:rPr>
        <w:rFonts w:ascii="Verdana" w:eastAsia="Verdana" w:hAnsi="Verdana" w:cs="Verdana"/>
        <w:b/>
        <w:color w:val="000000"/>
        <w:szCs w:val="24"/>
      </w:rPr>
      <w:t>Vol</w:t>
    </w:r>
    <w:r w:rsidR="00B30E92" w:rsidRPr="007421FA">
      <w:rPr>
        <w:rFonts w:ascii="Verdana" w:eastAsia="Verdana" w:hAnsi="Verdana" w:cs="Verdana"/>
        <w:b/>
        <w:color w:val="000000"/>
        <w:szCs w:val="24"/>
        <w:lang w:val="pt-PT"/>
      </w:rPr>
      <w:t>.</w:t>
    </w:r>
    <w:r w:rsidRPr="008249FF">
      <w:rPr>
        <w:rFonts w:ascii="Verdana" w:eastAsia="Verdana" w:hAnsi="Verdana" w:cs="Verdana"/>
        <w:b/>
        <w:color w:val="000000"/>
        <w:szCs w:val="24"/>
      </w:rPr>
      <w:t xml:space="preserve"> 1, No. 1, </w:t>
    </w:r>
    <w:r w:rsidR="00B30E92" w:rsidRPr="007421FA">
      <w:rPr>
        <w:rFonts w:ascii="Verdana" w:eastAsia="Verdana" w:hAnsi="Verdana" w:cs="Verdana"/>
        <w:b/>
        <w:color w:val="000000"/>
        <w:szCs w:val="24"/>
        <w:lang w:val="pt-PT"/>
      </w:rPr>
      <w:t>M</w:t>
    </w:r>
    <w:r w:rsidR="007421FA" w:rsidRPr="007421FA">
      <w:rPr>
        <w:rFonts w:ascii="Verdana" w:eastAsia="Verdana" w:hAnsi="Verdana" w:cs="Verdana"/>
        <w:b/>
        <w:color w:val="000000"/>
        <w:szCs w:val="24"/>
        <w:lang w:val="pt-PT"/>
      </w:rPr>
      <w:t>ei</w:t>
    </w:r>
    <w:r w:rsidRPr="007421FA">
      <w:rPr>
        <w:rFonts w:ascii="Verdana" w:eastAsia="Verdana" w:hAnsi="Verdana" w:cs="Verdana"/>
        <w:b/>
        <w:color w:val="000000"/>
        <w:szCs w:val="24"/>
        <w:lang w:val="pt-PT"/>
      </w:rPr>
      <w:t xml:space="preserve"> </w:t>
    </w:r>
    <w:r w:rsidRPr="008249FF">
      <w:rPr>
        <w:rFonts w:ascii="Verdana" w:eastAsia="Verdana" w:hAnsi="Verdana" w:cs="Verdana"/>
        <w:b/>
        <w:color w:val="000000"/>
        <w:szCs w:val="24"/>
      </w:rPr>
      <w:t>202</w:t>
    </w:r>
    <w:r w:rsidRPr="007421FA">
      <w:rPr>
        <w:rFonts w:ascii="Verdana" w:eastAsia="Verdana" w:hAnsi="Verdana" w:cs="Verdana"/>
        <w:b/>
        <w:color w:val="000000"/>
        <w:szCs w:val="24"/>
        <w:lang w:val="pt-PT"/>
      </w:rPr>
      <w:t>6</w:t>
    </w:r>
    <w:r w:rsidR="008C722A" w:rsidRPr="007421FA">
      <w:rPr>
        <w:rFonts w:ascii="Verdana" w:eastAsia="Verdana" w:hAnsi="Verdana" w:cs="Verdana"/>
        <w:b/>
        <w:color w:val="000000"/>
        <w:szCs w:val="24"/>
        <w:lang w:val="pt-PT"/>
      </w:rPr>
      <w:t xml:space="preserve">, pp. </w:t>
    </w:r>
    <w:r w:rsidR="001046D8">
      <w:rPr>
        <w:rFonts w:ascii="Verdana" w:eastAsia="Verdana" w:hAnsi="Verdana" w:cs="Verdana"/>
        <w:b/>
        <w:color w:val="000000"/>
        <w:szCs w:val="24"/>
        <w:lang w:val="pt-PT"/>
      </w:rPr>
      <w:t>13</w:t>
    </w:r>
    <w:r w:rsidR="008C722A" w:rsidRPr="007421FA">
      <w:rPr>
        <w:rFonts w:ascii="Verdana" w:eastAsia="Verdana" w:hAnsi="Verdana" w:cs="Verdana"/>
        <w:b/>
        <w:color w:val="000000"/>
        <w:szCs w:val="24"/>
        <w:lang w:val="pt-PT"/>
      </w:rPr>
      <w:t>-</w:t>
    </w:r>
    <w:r w:rsidR="004958B8">
      <w:rPr>
        <w:rFonts w:ascii="Verdana" w:eastAsia="Verdana" w:hAnsi="Verdana" w:cs="Verdana"/>
        <w:b/>
        <w:color w:val="000000"/>
        <w:szCs w:val="24"/>
        <w:lang w:val="pt-PT"/>
      </w:rPr>
      <w:t>1</w:t>
    </w:r>
    <w:r w:rsidR="008D66E8">
      <w:rPr>
        <w:rFonts w:ascii="Verdana" w:eastAsia="Verdana" w:hAnsi="Verdana" w:cs="Verdana"/>
        <w:b/>
        <w:color w:val="000000"/>
        <w:szCs w:val="24"/>
        <w:lang w:val="pt-PT"/>
      </w:rPr>
      <w:t>8</w:t>
    </w:r>
    <w:r w:rsidRPr="007421FA">
      <w:rPr>
        <w:rFonts w:ascii="Verdana" w:eastAsia="Verdana" w:hAnsi="Verdana" w:cs="Verdana"/>
        <w:b/>
        <w:color w:val="000000"/>
        <w:szCs w:val="24"/>
        <w:lang w:val="pt-PT"/>
      </w:rPr>
      <w:t xml:space="preserve"> | E-ISSN : xxxx-xxxx</w:t>
    </w:r>
  </w:p>
  <w:p w14:paraId="6A8A41AE" w14:textId="035FBB40" w:rsidR="002930FC" w:rsidRDefault="007421FA" w:rsidP="007421FA">
    <w:pPr>
      <w:spacing w:after="0" w:line="240" w:lineRule="auto"/>
      <w:textDirection w:val="btLr"/>
    </w:pPr>
    <w:r>
      <w:rPr>
        <w:noProof/>
        <w:lang w:val="en-ID"/>
      </w:rPr>
      <mc:AlternateContent>
        <mc:Choice Requires="wps">
          <w:drawing>
            <wp:anchor distT="0" distB="0" distL="114300" distR="114300" simplePos="0" relativeHeight="251670528" behindDoc="0" locked="0" layoutInCell="1" allowOverlap="1" wp14:anchorId="77CD9FFC" wp14:editId="563E95D5">
              <wp:simplePos x="0" y="0"/>
              <wp:positionH relativeFrom="margin">
                <wp:posOffset>5080</wp:posOffset>
              </wp:positionH>
              <wp:positionV relativeFrom="page">
                <wp:posOffset>1506432</wp:posOffset>
              </wp:positionV>
              <wp:extent cx="5950424" cy="45719"/>
              <wp:effectExtent l="0" t="0" r="0" b="0"/>
              <wp:wrapNone/>
              <wp:docPr id="5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0424" cy="457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35293" id="Rectangle 2" o:spid="_x0000_s1026" style="position:absolute;margin-left:.4pt;margin-top:118.6pt;width:468.55pt;height:3.6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" fillcolor="black" stroked="f">
              <w10:wrap anchorx="margin" anchory="page"/>
            </v:rect>
          </w:pict>
        </mc:Fallback>
      </mc:AlternateContent>
    </w:r>
    <w:hyperlink r:id="rId4" w:history="1">
      <w:r w:rsidRPr="00F46B66">
        <w:rPr>
          <w:rStyle w:val="Hyperlink"/>
          <w:sz w:val="24"/>
          <w:szCs w:val="24"/>
          <w:lang w:val="pt-PT"/>
        </w:rPr>
        <w:t>https://ejournal.edupulse.id/index.php/gjetp</w:t>
      </w:r>
    </w:hyperlink>
    <w:r w:rsidRPr="00F46B66">
      <w:rPr>
        <w:sz w:val="24"/>
        <w:szCs w:val="24"/>
        <w:lang w:val="pt-P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40CC"/>
    <w:multiLevelType w:val="hybridMultilevel"/>
    <w:tmpl w:val="8D8E2C7C"/>
    <w:lvl w:ilvl="0" w:tplc="099CFD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E25571"/>
    <w:multiLevelType w:val="hybridMultilevel"/>
    <w:tmpl w:val="2564B64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263A4617"/>
    <w:multiLevelType w:val="hybridMultilevel"/>
    <w:tmpl w:val="488E07B0"/>
    <w:lvl w:ilvl="0" w:tplc="F148F5F4">
      <w:start w:val="1"/>
      <w:numFmt w:val="decimal"/>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3" w15:restartNumberingAfterBreak="0">
    <w:nsid w:val="27CB43DC"/>
    <w:multiLevelType w:val="hybridMultilevel"/>
    <w:tmpl w:val="D642465E"/>
    <w:lvl w:ilvl="0" w:tplc="FF309502">
      <w:start w:val="1"/>
      <w:numFmt w:val="decimal"/>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4" w15:restartNumberingAfterBreak="0">
    <w:nsid w:val="529B4A36"/>
    <w:multiLevelType w:val="hybridMultilevel"/>
    <w:tmpl w:val="68E45468"/>
    <w:lvl w:ilvl="0" w:tplc="1E12E01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55FE44F1"/>
    <w:multiLevelType w:val="hybridMultilevel"/>
    <w:tmpl w:val="1C263CA0"/>
    <w:lvl w:ilvl="0" w:tplc="0409000F">
      <w:start w:val="1"/>
      <w:numFmt w:val="decimal"/>
      <w:lvlText w:val="%1."/>
      <w:lvlJc w:val="left"/>
      <w:pPr>
        <w:ind w:left="743" w:hanging="360"/>
      </w:pPr>
    </w:lvl>
    <w:lvl w:ilvl="1" w:tplc="04090019" w:tentative="1">
      <w:start w:val="1"/>
      <w:numFmt w:val="lowerLetter"/>
      <w:lvlText w:val="%2."/>
      <w:lvlJc w:val="left"/>
      <w:pPr>
        <w:ind w:left="1463" w:hanging="360"/>
      </w:pPr>
    </w:lvl>
    <w:lvl w:ilvl="2" w:tplc="0409001B" w:tentative="1">
      <w:start w:val="1"/>
      <w:numFmt w:val="lowerRoman"/>
      <w:lvlText w:val="%3."/>
      <w:lvlJc w:val="right"/>
      <w:pPr>
        <w:ind w:left="2183" w:hanging="180"/>
      </w:pPr>
    </w:lvl>
    <w:lvl w:ilvl="3" w:tplc="0409000F" w:tentative="1">
      <w:start w:val="1"/>
      <w:numFmt w:val="decimal"/>
      <w:lvlText w:val="%4."/>
      <w:lvlJc w:val="left"/>
      <w:pPr>
        <w:ind w:left="2903" w:hanging="360"/>
      </w:pPr>
    </w:lvl>
    <w:lvl w:ilvl="4" w:tplc="04090019" w:tentative="1">
      <w:start w:val="1"/>
      <w:numFmt w:val="lowerLetter"/>
      <w:lvlText w:val="%5."/>
      <w:lvlJc w:val="left"/>
      <w:pPr>
        <w:ind w:left="3623" w:hanging="360"/>
      </w:pPr>
    </w:lvl>
    <w:lvl w:ilvl="5" w:tplc="0409001B" w:tentative="1">
      <w:start w:val="1"/>
      <w:numFmt w:val="lowerRoman"/>
      <w:lvlText w:val="%6."/>
      <w:lvlJc w:val="right"/>
      <w:pPr>
        <w:ind w:left="4343" w:hanging="180"/>
      </w:pPr>
    </w:lvl>
    <w:lvl w:ilvl="6" w:tplc="0409000F" w:tentative="1">
      <w:start w:val="1"/>
      <w:numFmt w:val="decimal"/>
      <w:lvlText w:val="%7."/>
      <w:lvlJc w:val="left"/>
      <w:pPr>
        <w:ind w:left="5063" w:hanging="360"/>
      </w:pPr>
    </w:lvl>
    <w:lvl w:ilvl="7" w:tplc="04090019" w:tentative="1">
      <w:start w:val="1"/>
      <w:numFmt w:val="lowerLetter"/>
      <w:lvlText w:val="%8."/>
      <w:lvlJc w:val="left"/>
      <w:pPr>
        <w:ind w:left="5783" w:hanging="360"/>
      </w:pPr>
    </w:lvl>
    <w:lvl w:ilvl="8" w:tplc="0409001B" w:tentative="1">
      <w:start w:val="1"/>
      <w:numFmt w:val="lowerRoman"/>
      <w:lvlText w:val="%9."/>
      <w:lvlJc w:val="right"/>
      <w:pPr>
        <w:ind w:left="6503" w:hanging="180"/>
      </w:pPr>
    </w:lvl>
  </w:abstractNum>
  <w:abstractNum w:abstractNumId="6" w15:restartNumberingAfterBreak="0">
    <w:nsid w:val="692D2858"/>
    <w:multiLevelType w:val="hybridMultilevel"/>
    <w:tmpl w:val="1382BB78"/>
    <w:lvl w:ilvl="0" w:tplc="9EE8B916">
      <w:numFmt w:val="bullet"/>
      <w:lvlText w:val="•"/>
      <w:lvlJc w:val="left"/>
      <w:pPr>
        <w:ind w:left="1080" w:hanging="720"/>
      </w:pPr>
      <w:rPr>
        <w:rFonts w:ascii="Cambria" w:eastAsia="Arial"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025EAD"/>
    <w:multiLevelType w:val="hybridMultilevel"/>
    <w:tmpl w:val="AD32CFFE"/>
    <w:lvl w:ilvl="0" w:tplc="5A469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EE5AEC"/>
    <w:multiLevelType w:val="hybridMultilevel"/>
    <w:tmpl w:val="B1AA7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0B14E6"/>
    <w:multiLevelType w:val="hybridMultilevel"/>
    <w:tmpl w:val="68E4546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0" w15:restartNumberingAfterBreak="0">
    <w:nsid w:val="7FCD428E"/>
    <w:multiLevelType w:val="hybridMultilevel"/>
    <w:tmpl w:val="68E4546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1114330346">
    <w:abstractNumId w:val="7"/>
  </w:num>
  <w:num w:numId="2" w16cid:durableId="859050655">
    <w:abstractNumId w:val="0"/>
  </w:num>
  <w:num w:numId="3" w16cid:durableId="1932347148">
    <w:abstractNumId w:val="8"/>
  </w:num>
  <w:num w:numId="4" w16cid:durableId="630400247">
    <w:abstractNumId w:val="6"/>
  </w:num>
  <w:num w:numId="5" w16cid:durableId="1907450160">
    <w:abstractNumId w:val="5"/>
  </w:num>
  <w:num w:numId="6" w16cid:durableId="2091730227">
    <w:abstractNumId w:val="2"/>
  </w:num>
  <w:num w:numId="7" w16cid:durableId="277445249">
    <w:abstractNumId w:val="3"/>
  </w:num>
  <w:num w:numId="8" w16cid:durableId="616958539">
    <w:abstractNumId w:val="1"/>
  </w:num>
  <w:num w:numId="9" w16cid:durableId="1175073878">
    <w:abstractNumId w:val="4"/>
  </w:num>
  <w:num w:numId="10" w16cid:durableId="280722032">
    <w:abstractNumId w:val="10"/>
  </w:num>
  <w:num w:numId="11" w16cid:durableId="18151754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CB5"/>
    <w:rsid w:val="000118C6"/>
    <w:rsid w:val="0002300E"/>
    <w:rsid w:val="00037C0C"/>
    <w:rsid w:val="00037C64"/>
    <w:rsid w:val="000432FE"/>
    <w:rsid w:val="00082832"/>
    <w:rsid w:val="00084084"/>
    <w:rsid w:val="00086C81"/>
    <w:rsid w:val="000C0AB5"/>
    <w:rsid w:val="000C2DAF"/>
    <w:rsid w:val="000E1C51"/>
    <w:rsid w:val="000E3641"/>
    <w:rsid w:val="000F45D9"/>
    <w:rsid w:val="00100C73"/>
    <w:rsid w:val="001046D8"/>
    <w:rsid w:val="00107E86"/>
    <w:rsid w:val="0018006B"/>
    <w:rsid w:val="001A031C"/>
    <w:rsid w:val="001A0ADC"/>
    <w:rsid w:val="001A4989"/>
    <w:rsid w:val="001B5291"/>
    <w:rsid w:val="001C24D2"/>
    <w:rsid w:val="001D39F4"/>
    <w:rsid w:val="001F4864"/>
    <w:rsid w:val="001F743A"/>
    <w:rsid w:val="00204E82"/>
    <w:rsid w:val="00205A30"/>
    <w:rsid w:val="00230ED5"/>
    <w:rsid w:val="00235F93"/>
    <w:rsid w:val="00264EAA"/>
    <w:rsid w:val="0027122F"/>
    <w:rsid w:val="002930FC"/>
    <w:rsid w:val="002B3F13"/>
    <w:rsid w:val="002C7F0E"/>
    <w:rsid w:val="003124CB"/>
    <w:rsid w:val="003324F4"/>
    <w:rsid w:val="003353EE"/>
    <w:rsid w:val="00354ED3"/>
    <w:rsid w:val="003674F8"/>
    <w:rsid w:val="003A2434"/>
    <w:rsid w:val="003E1AAE"/>
    <w:rsid w:val="003F7B03"/>
    <w:rsid w:val="004235DA"/>
    <w:rsid w:val="00444E79"/>
    <w:rsid w:val="00444FF3"/>
    <w:rsid w:val="00473421"/>
    <w:rsid w:val="00482C98"/>
    <w:rsid w:val="004958B8"/>
    <w:rsid w:val="004C3019"/>
    <w:rsid w:val="0050184F"/>
    <w:rsid w:val="00543A8B"/>
    <w:rsid w:val="00552684"/>
    <w:rsid w:val="00563D92"/>
    <w:rsid w:val="00581307"/>
    <w:rsid w:val="00617911"/>
    <w:rsid w:val="00630C54"/>
    <w:rsid w:val="00647575"/>
    <w:rsid w:val="00651CB3"/>
    <w:rsid w:val="006608AB"/>
    <w:rsid w:val="0067707C"/>
    <w:rsid w:val="00682F96"/>
    <w:rsid w:val="006A1840"/>
    <w:rsid w:val="006A7438"/>
    <w:rsid w:val="006B241E"/>
    <w:rsid w:val="0073552C"/>
    <w:rsid w:val="0074005A"/>
    <w:rsid w:val="007421FA"/>
    <w:rsid w:val="007425BB"/>
    <w:rsid w:val="00746B99"/>
    <w:rsid w:val="00764332"/>
    <w:rsid w:val="00781A0C"/>
    <w:rsid w:val="0078493D"/>
    <w:rsid w:val="00786B84"/>
    <w:rsid w:val="007A0938"/>
    <w:rsid w:val="007A1B8B"/>
    <w:rsid w:val="007A70E8"/>
    <w:rsid w:val="007A78C4"/>
    <w:rsid w:val="008023B8"/>
    <w:rsid w:val="0081638B"/>
    <w:rsid w:val="008249FF"/>
    <w:rsid w:val="0087166D"/>
    <w:rsid w:val="0089156B"/>
    <w:rsid w:val="00892B00"/>
    <w:rsid w:val="008C64A7"/>
    <w:rsid w:val="008C722A"/>
    <w:rsid w:val="008D66E8"/>
    <w:rsid w:val="008E2350"/>
    <w:rsid w:val="008E6BB7"/>
    <w:rsid w:val="00924DFA"/>
    <w:rsid w:val="00943F63"/>
    <w:rsid w:val="00954CB5"/>
    <w:rsid w:val="009A5B92"/>
    <w:rsid w:val="009B62DA"/>
    <w:rsid w:val="009E233E"/>
    <w:rsid w:val="009E321F"/>
    <w:rsid w:val="009F2A16"/>
    <w:rsid w:val="009F32E9"/>
    <w:rsid w:val="00A001C3"/>
    <w:rsid w:val="00A02054"/>
    <w:rsid w:val="00A052C8"/>
    <w:rsid w:val="00A10C8E"/>
    <w:rsid w:val="00A27D6E"/>
    <w:rsid w:val="00A464A7"/>
    <w:rsid w:val="00A606FD"/>
    <w:rsid w:val="00A62553"/>
    <w:rsid w:val="00A76835"/>
    <w:rsid w:val="00AB13D2"/>
    <w:rsid w:val="00AC5270"/>
    <w:rsid w:val="00B03B03"/>
    <w:rsid w:val="00B10331"/>
    <w:rsid w:val="00B12D59"/>
    <w:rsid w:val="00B14DF7"/>
    <w:rsid w:val="00B1658C"/>
    <w:rsid w:val="00B30E92"/>
    <w:rsid w:val="00B3323C"/>
    <w:rsid w:val="00B40B77"/>
    <w:rsid w:val="00B74703"/>
    <w:rsid w:val="00B861B9"/>
    <w:rsid w:val="00BA259C"/>
    <w:rsid w:val="00BA3FE9"/>
    <w:rsid w:val="00BA52B1"/>
    <w:rsid w:val="00BB0512"/>
    <w:rsid w:val="00C064E1"/>
    <w:rsid w:val="00C171A7"/>
    <w:rsid w:val="00C3530D"/>
    <w:rsid w:val="00C44A77"/>
    <w:rsid w:val="00C63B23"/>
    <w:rsid w:val="00C7194C"/>
    <w:rsid w:val="00C74878"/>
    <w:rsid w:val="00C75A9E"/>
    <w:rsid w:val="00CC13AB"/>
    <w:rsid w:val="00CE144E"/>
    <w:rsid w:val="00D07D5D"/>
    <w:rsid w:val="00D12525"/>
    <w:rsid w:val="00D21A43"/>
    <w:rsid w:val="00D34BD4"/>
    <w:rsid w:val="00D44EA3"/>
    <w:rsid w:val="00D6413E"/>
    <w:rsid w:val="00D652BA"/>
    <w:rsid w:val="00D84D0E"/>
    <w:rsid w:val="00DA3617"/>
    <w:rsid w:val="00DB3A07"/>
    <w:rsid w:val="00DF5179"/>
    <w:rsid w:val="00E07A88"/>
    <w:rsid w:val="00E35AE7"/>
    <w:rsid w:val="00E45118"/>
    <w:rsid w:val="00E6101E"/>
    <w:rsid w:val="00E87ACD"/>
    <w:rsid w:val="00EE2723"/>
    <w:rsid w:val="00EE2952"/>
    <w:rsid w:val="00EE72DB"/>
    <w:rsid w:val="00F169AF"/>
    <w:rsid w:val="00F30FC5"/>
    <w:rsid w:val="00F46B66"/>
    <w:rsid w:val="00F64340"/>
    <w:rsid w:val="00FA0FDD"/>
    <w:rsid w:val="00FA5180"/>
    <w:rsid w:val="00FB24F8"/>
    <w:rsid w:val="00FC3424"/>
    <w:rsid w:val="00FC7DBD"/>
    <w:rsid w:val="00FE28E7"/>
    <w:rsid w:val="00FE431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A93921"/>
  <w15:docId w15:val="{E5E498C3-5D96-42DA-8B29-BB6A301D7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51B"/>
    <w:rPr>
      <w:lang w:val="id-ID"/>
    </w:rPr>
  </w:style>
  <w:style w:type="paragraph" w:styleId="Heading1">
    <w:name w:val="heading 1"/>
    <w:basedOn w:val="Normal"/>
    <w:next w:val="Normal"/>
    <w:link w:val="Heading1Char"/>
    <w:uiPriority w:val="9"/>
    <w:qFormat/>
    <w:rsid w:val="003E751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rPr>
  </w:style>
  <w:style w:type="paragraph" w:styleId="Heading2">
    <w:name w:val="heading 2"/>
    <w:basedOn w:val="Normal"/>
    <w:next w:val="Normal"/>
    <w:link w:val="Heading2Char"/>
    <w:uiPriority w:val="9"/>
    <w:semiHidden/>
    <w:unhideWhenUsed/>
    <w:qFormat/>
    <w:rsid w:val="003E751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rPr>
  </w:style>
  <w:style w:type="paragraph" w:styleId="Heading3">
    <w:name w:val="heading 3"/>
    <w:basedOn w:val="Normal"/>
    <w:next w:val="Normal"/>
    <w:link w:val="Heading3Char"/>
    <w:uiPriority w:val="9"/>
    <w:semiHidden/>
    <w:unhideWhenUsed/>
    <w:qFormat/>
    <w:rsid w:val="003E751B"/>
    <w:pPr>
      <w:keepNext/>
      <w:keepLines/>
      <w:spacing w:before="160" w:after="80" w:line="259" w:lineRule="auto"/>
      <w:outlineLvl w:val="2"/>
    </w:pPr>
    <w:rPr>
      <w:rFonts w:eastAsiaTheme="majorEastAsia" w:cstheme="majorBidi"/>
      <w:color w:val="0F4761" w:themeColor="accent1" w:themeShade="BF"/>
      <w:kern w:val="2"/>
      <w:sz w:val="28"/>
      <w:szCs w:val="28"/>
      <w:lang w:val="en-US"/>
    </w:rPr>
  </w:style>
  <w:style w:type="paragraph" w:styleId="Heading4">
    <w:name w:val="heading 4"/>
    <w:basedOn w:val="Normal"/>
    <w:next w:val="Normal"/>
    <w:link w:val="Heading4Char"/>
    <w:uiPriority w:val="9"/>
    <w:semiHidden/>
    <w:unhideWhenUsed/>
    <w:qFormat/>
    <w:rsid w:val="003E751B"/>
    <w:pPr>
      <w:keepNext/>
      <w:keepLines/>
      <w:spacing w:before="80" w:after="40" w:line="259" w:lineRule="auto"/>
      <w:outlineLvl w:val="3"/>
    </w:pPr>
    <w:rPr>
      <w:rFonts w:eastAsiaTheme="majorEastAsia" w:cstheme="majorBidi"/>
      <w:i/>
      <w:iCs/>
      <w:color w:val="0F4761" w:themeColor="accent1" w:themeShade="BF"/>
      <w:kern w:val="2"/>
      <w:lang w:val="en-US"/>
    </w:rPr>
  </w:style>
  <w:style w:type="paragraph" w:styleId="Heading5">
    <w:name w:val="heading 5"/>
    <w:basedOn w:val="Normal"/>
    <w:next w:val="Normal"/>
    <w:link w:val="Heading5Char"/>
    <w:uiPriority w:val="9"/>
    <w:semiHidden/>
    <w:unhideWhenUsed/>
    <w:qFormat/>
    <w:rsid w:val="003E751B"/>
    <w:pPr>
      <w:keepNext/>
      <w:keepLines/>
      <w:spacing w:before="80" w:after="40" w:line="259" w:lineRule="auto"/>
      <w:outlineLvl w:val="4"/>
    </w:pPr>
    <w:rPr>
      <w:rFonts w:eastAsiaTheme="majorEastAsia" w:cstheme="majorBidi"/>
      <w:color w:val="0F4761" w:themeColor="accent1" w:themeShade="BF"/>
      <w:kern w:val="2"/>
      <w:lang w:val="en-US"/>
    </w:rPr>
  </w:style>
  <w:style w:type="paragraph" w:styleId="Heading6">
    <w:name w:val="heading 6"/>
    <w:basedOn w:val="Normal"/>
    <w:next w:val="Normal"/>
    <w:link w:val="Heading6Char"/>
    <w:uiPriority w:val="9"/>
    <w:semiHidden/>
    <w:unhideWhenUsed/>
    <w:qFormat/>
    <w:rsid w:val="003E751B"/>
    <w:pPr>
      <w:keepNext/>
      <w:keepLines/>
      <w:spacing w:before="40" w:after="0" w:line="259" w:lineRule="auto"/>
      <w:outlineLvl w:val="5"/>
    </w:pPr>
    <w:rPr>
      <w:rFonts w:eastAsiaTheme="majorEastAsia" w:cstheme="majorBidi"/>
      <w:i/>
      <w:iCs/>
      <w:color w:val="595959" w:themeColor="text1" w:themeTint="A6"/>
      <w:kern w:val="2"/>
      <w:lang w:val="en-US"/>
    </w:rPr>
  </w:style>
  <w:style w:type="paragraph" w:styleId="Heading7">
    <w:name w:val="heading 7"/>
    <w:basedOn w:val="Normal"/>
    <w:next w:val="Normal"/>
    <w:link w:val="Heading7Char"/>
    <w:uiPriority w:val="9"/>
    <w:semiHidden/>
    <w:unhideWhenUsed/>
    <w:qFormat/>
    <w:rsid w:val="003E751B"/>
    <w:pPr>
      <w:keepNext/>
      <w:keepLines/>
      <w:spacing w:before="40" w:after="0" w:line="259" w:lineRule="auto"/>
      <w:outlineLvl w:val="6"/>
    </w:pPr>
    <w:rPr>
      <w:rFonts w:eastAsiaTheme="majorEastAsia" w:cstheme="majorBidi"/>
      <w:color w:val="595959" w:themeColor="text1" w:themeTint="A6"/>
      <w:kern w:val="2"/>
      <w:lang w:val="en-US"/>
    </w:rPr>
  </w:style>
  <w:style w:type="paragraph" w:styleId="Heading8">
    <w:name w:val="heading 8"/>
    <w:basedOn w:val="Normal"/>
    <w:next w:val="Normal"/>
    <w:link w:val="Heading8Char"/>
    <w:uiPriority w:val="9"/>
    <w:semiHidden/>
    <w:unhideWhenUsed/>
    <w:qFormat/>
    <w:rsid w:val="003E751B"/>
    <w:pPr>
      <w:keepNext/>
      <w:keepLines/>
      <w:spacing w:after="0" w:line="259" w:lineRule="auto"/>
      <w:outlineLvl w:val="7"/>
    </w:pPr>
    <w:rPr>
      <w:rFonts w:eastAsiaTheme="majorEastAsia" w:cstheme="majorBidi"/>
      <w:i/>
      <w:iCs/>
      <w:color w:val="272727" w:themeColor="text1" w:themeTint="D8"/>
      <w:kern w:val="2"/>
      <w:lang w:val="en-US"/>
    </w:rPr>
  </w:style>
  <w:style w:type="paragraph" w:styleId="Heading9">
    <w:name w:val="heading 9"/>
    <w:basedOn w:val="Normal"/>
    <w:next w:val="Normal"/>
    <w:link w:val="Heading9Char"/>
    <w:uiPriority w:val="9"/>
    <w:semiHidden/>
    <w:unhideWhenUsed/>
    <w:qFormat/>
    <w:rsid w:val="003E751B"/>
    <w:pPr>
      <w:keepNext/>
      <w:keepLines/>
      <w:spacing w:after="0" w:line="259" w:lineRule="auto"/>
      <w:outlineLvl w:val="8"/>
    </w:pPr>
    <w:rPr>
      <w:rFonts w:eastAsiaTheme="majorEastAsia" w:cstheme="majorBidi"/>
      <w:color w:val="272727" w:themeColor="text1" w:themeTint="D8"/>
      <w:kern w:val="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E751B"/>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Heading1Char">
    <w:name w:val="Heading 1 Char"/>
    <w:basedOn w:val="DefaultParagraphFont"/>
    <w:link w:val="Heading1"/>
    <w:uiPriority w:val="9"/>
    <w:rsid w:val="003E75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75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75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75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75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75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75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75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751B"/>
    <w:rPr>
      <w:rFonts w:eastAsiaTheme="majorEastAsia" w:cstheme="majorBidi"/>
      <w:color w:val="272727" w:themeColor="text1" w:themeTint="D8"/>
    </w:rPr>
  </w:style>
  <w:style w:type="character" w:customStyle="1" w:styleId="TitleChar">
    <w:name w:val="Title Char"/>
    <w:basedOn w:val="DefaultParagraphFont"/>
    <w:link w:val="Title"/>
    <w:uiPriority w:val="10"/>
    <w:rsid w:val="003E75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line="259" w:lineRule="auto"/>
    </w:pPr>
    <w:rPr>
      <w:color w:val="595959"/>
      <w:sz w:val="28"/>
      <w:szCs w:val="28"/>
    </w:rPr>
  </w:style>
  <w:style w:type="character" w:customStyle="1" w:styleId="SubtitleChar">
    <w:name w:val="Subtitle Char"/>
    <w:basedOn w:val="DefaultParagraphFont"/>
    <w:link w:val="Subtitle"/>
    <w:uiPriority w:val="11"/>
    <w:rsid w:val="003E75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751B"/>
    <w:pPr>
      <w:spacing w:before="160" w:after="160" w:line="259" w:lineRule="auto"/>
      <w:jc w:val="center"/>
    </w:pPr>
    <w:rPr>
      <w:i/>
      <w:iCs/>
      <w:color w:val="404040" w:themeColor="text1" w:themeTint="BF"/>
      <w:kern w:val="2"/>
      <w:lang w:val="en-US"/>
    </w:rPr>
  </w:style>
  <w:style w:type="character" w:customStyle="1" w:styleId="QuoteChar">
    <w:name w:val="Quote Char"/>
    <w:basedOn w:val="DefaultParagraphFont"/>
    <w:link w:val="Quote"/>
    <w:uiPriority w:val="29"/>
    <w:rsid w:val="003E751B"/>
    <w:rPr>
      <w:i/>
      <w:iCs/>
      <w:color w:val="404040" w:themeColor="text1" w:themeTint="BF"/>
    </w:rPr>
  </w:style>
  <w:style w:type="paragraph" w:styleId="ListParagraph">
    <w:name w:val="List Paragraph"/>
    <w:basedOn w:val="Normal"/>
    <w:uiPriority w:val="34"/>
    <w:qFormat/>
    <w:rsid w:val="003E751B"/>
    <w:pPr>
      <w:spacing w:after="160" w:line="259" w:lineRule="auto"/>
      <w:ind w:left="720"/>
      <w:contextualSpacing/>
    </w:pPr>
    <w:rPr>
      <w:kern w:val="2"/>
      <w:lang w:val="en-US"/>
    </w:rPr>
  </w:style>
  <w:style w:type="character" w:styleId="IntenseEmphasis">
    <w:name w:val="Intense Emphasis"/>
    <w:basedOn w:val="DefaultParagraphFont"/>
    <w:uiPriority w:val="21"/>
    <w:qFormat/>
    <w:rsid w:val="003E751B"/>
    <w:rPr>
      <w:i/>
      <w:iCs/>
      <w:color w:val="0F4761" w:themeColor="accent1" w:themeShade="BF"/>
    </w:rPr>
  </w:style>
  <w:style w:type="paragraph" w:styleId="IntenseQuote">
    <w:name w:val="Intense Quote"/>
    <w:basedOn w:val="Normal"/>
    <w:next w:val="Normal"/>
    <w:link w:val="IntenseQuoteChar"/>
    <w:uiPriority w:val="30"/>
    <w:qFormat/>
    <w:rsid w:val="003E751B"/>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lang w:val="en-US"/>
    </w:rPr>
  </w:style>
  <w:style w:type="character" w:customStyle="1" w:styleId="IntenseQuoteChar">
    <w:name w:val="Intense Quote Char"/>
    <w:basedOn w:val="DefaultParagraphFont"/>
    <w:link w:val="IntenseQuote"/>
    <w:uiPriority w:val="30"/>
    <w:rsid w:val="003E751B"/>
    <w:rPr>
      <w:i/>
      <w:iCs/>
      <w:color w:val="0F4761" w:themeColor="accent1" w:themeShade="BF"/>
    </w:rPr>
  </w:style>
  <w:style w:type="character" w:styleId="IntenseReference">
    <w:name w:val="Intense Reference"/>
    <w:basedOn w:val="DefaultParagraphFont"/>
    <w:uiPriority w:val="32"/>
    <w:qFormat/>
    <w:rsid w:val="003E751B"/>
    <w:rPr>
      <w:b/>
      <w:bCs/>
      <w:smallCaps/>
      <w:color w:val="0F4761" w:themeColor="accent1" w:themeShade="BF"/>
      <w:spacing w:val="5"/>
    </w:rPr>
  </w:style>
  <w:style w:type="table" w:styleId="TableGrid">
    <w:name w:val="Table Grid"/>
    <w:basedOn w:val="TableNormal"/>
    <w:uiPriority w:val="59"/>
    <w:rsid w:val="003E751B"/>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E751B"/>
    <w:rPr>
      <w:color w:val="467886" w:themeColor="hyperlink"/>
      <w:u w:val="single"/>
    </w:rPr>
  </w:style>
  <w:style w:type="paragraph" w:styleId="Header">
    <w:name w:val="header"/>
    <w:basedOn w:val="Normal"/>
    <w:link w:val="HeaderChar"/>
    <w:uiPriority w:val="99"/>
    <w:unhideWhenUsed/>
    <w:rsid w:val="003E75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751B"/>
    <w:rPr>
      <w:kern w:val="0"/>
      <w:lang w:val="id-ID"/>
    </w:rPr>
  </w:style>
  <w:style w:type="paragraph" w:styleId="Footer">
    <w:name w:val="footer"/>
    <w:basedOn w:val="Normal"/>
    <w:link w:val="FooterChar"/>
    <w:uiPriority w:val="99"/>
    <w:unhideWhenUsed/>
    <w:rsid w:val="003E7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51B"/>
    <w:rPr>
      <w:kern w:val="0"/>
      <w:lang w:val="id-ID"/>
    </w:rPr>
  </w:style>
  <w:style w:type="table" w:customStyle="1" w:styleId="a">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9E321F"/>
    <w:rPr>
      <w:color w:val="605E5C"/>
      <w:shd w:val="clear" w:color="auto" w:fill="E1DFDD"/>
    </w:rPr>
  </w:style>
  <w:style w:type="paragraph" w:styleId="BodyText">
    <w:name w:val="Body Text"/>
    <w:basedOn w:val="Normal"/>
    <w:link w:val="BodyTextChar"/>
    <w:uiPriority w:val="1"/>
    <w:qFormat/>
    <w:rsid w:val="0073552C"/>
    <w:pPr>
      <w:widowControl w:val="0"/>
      <w:autoSpaceDE w:val="0"/>
      <w:autoSpaceDN w:val="0"/>
      <w:spacing w:after="0" w:line="240" w:lineRule="auto"/>
      <w:ind w:left="23"/>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3552C"/>
    <w:rPr>
      <w:rFonts w:ascii="Times New Roman" w:eastAsia="Times New Roman" w:hAnsi="Times New Roman" w:cs="Times New Roman"/>
      <w:sz w:val="24"/>
      <w:szCs w:val="24"/>
      <w:lang w:val="id"/>
    </w:rPr>
  </w:style>
  <w:style w:type="table" w:customStyle="1" w:styleId="TableNormal1">
    <w:name w:val="Table Normal1"/>
    <w:uiPriority w:val="2"/>
    <w:semiHidden/>
    <w:unhideWhenUsed/>
    <w:qFormat/>
    <w:rsid w:val="0073552C"/>
    <w:pPr>
      <w:widowControl w:val="0"/>
      <w:autoSpaceDE w:val="0"/>
      <w:autoSpaceDN w:val="0"/>
      <w:spacing w:after="0" w:line="240" w:lineRule="auto"/>
    </w:pPr>
    <w:rPr>
      <w:rFonts w:asciiTheme="minorHAnsi" w:eastAsiaTheme="minorHAnsi" w:hAnsiTheme="minorHAnsi" w:cstheme="minorBidi"/>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3552C"/>
    <w:pPr>
      <w:widowControl w:val="0"/>
      <w:autoSpaceDE w:val="0"/>
      <w:autoSpaceDN w:val="0"/>
      <w:spacing w:after="0" w:line="240" w:lineRule="auto"/>
      <w:ind w:left="107"/>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8350">
      <w:bodyDiv w:val="1"/>
      <w:marLeft w:val="0"/>
      <w:marRight w:val="0"/>
      <w:marTop w:val="0"/>
      <w:marBottom w:val="0"/>
      <w:divBdr>
        <w:top w:val="none" w:sz="0" w:space="0" w:color="auto"/>
        <w:left w:val="none" w:sz="0" w:space="0" w:color="auto"/>
        <w:bottom w:val="none" w:sz="0" w:space="0" w:color="auto"/>
        <w:right w:val="none" w:sz="0" w:space="0" w:color="auto"/>
      </w:divBdr>
    </w:div>
    <w:div w:id="179122060">
      <w:bodyDiv w:val="1"/>
      <w:marLeft w:val="0"/>
      <w:marRight w:val="0"/>
      <w:marTop w:val="0"/>
      <w:marBottom w:val="0"/>
      <w:divBdr>
        <w:top w:val="none" w:sz="0" w:space="0" w:color="auto"/>
        <w:left w:val="none" w:sz="0" w:space="0" w:color="auto"/>
        <w:bottom w:val="none" w:sz="0" w:space="0" w:color="auto"/>
        <w:right w:val="none" w:sz="0" w:space="0" w:color="auto"/>
      </w:divBdr>
    </w:div>
    <w:div w:id="250241832">
      <w:bodyDiv w:val="1"/>
      <w:marLeft w:val="0"/>
      <w:marRight w:val="0"/>
      <w:marTop w:val="0"/>
      <w:marBottom w:val="0"/>
      <w:divBdr>
        <w:top w:val="none" w:sz="0" w:space="0" w:color="auto"/>
        <w:left w:val="none" w:sz="0" w:space="0" w:color="auto"/>
        <w:bottom w:val="none" w:sz="0" w:space="0" w:color="auto"/>
        <w:right w:val="none" w:sz="0" w:space="0" w:color="auto"/>
      </w:divBdr>
    </w:div>
    <w:div w:id="719401544">
      <w:bodyDiv w:val="1"/>
      <w:marLeft w:val="0"/>
      <w:marRight w:val="0"/>
      <w:marTop w:val="0"/>
      <w:marBottom w:val="0"/>
      <w:divBdr>
        <w:top w:val="none" w:sz="0" w:space="0" w:color="auto"/>
        <w:left w:val="none" w:sz="0" w:space="0" w:color="auto"/>
        <w:bottom w:val="none" w:sz="0" w:space="0" w:color="auto"/>
        <w:right w:val="none" w:sz="0" w:space="0" w:color="auto"/>
      </w:divBdr>
    </w:div>
    <w:div w:id="760031800">
      <w:bodyDiv w:val="1"/>
      <w:marLeft w:val="0"/>
      <w:marRight w:val="0"/>
      <w:marTop w:val="0"/>
      <w:marBottom w:val="0"/>
      <w:divBdr>
        <w:top w:val="none" w:sz="0" w:space="0" w:color="auto"/>
        <w:left w:val="none" w:sz="0" w:space="0" w:color="auto"/>
        <w:bottom w:val="none" w:sz="0" w:space="0" w:color="auto"/>
        <w:right w:val="none" w:sz="0" w:space="0" w:color="auto"/>
      </w:divBdr>
      <w:divsChild>
        <w:div w:id="1985810728">
          <w:marLeft w:val="0"/>
          <w:marRight w:val="0"/>
          <w:marTop w:val="0"/>
          <w:marBottom w:val="0"/>
          <w:divBdr>
            <w:top w:val="none" w:sz="0" w:space="0" w:color="auto"/>
            <w:left w:val="none" w:sz="0" w:space="0" w:color="auto"/>
            <w:bottom w:val="none" w:sz="0" w:space="0" w:color="auto"/>
            <w:right w:val="none" w:sz="0" w:space="0" w:color="auto"/>
          </w:divBdr>
          <w:divsChild>
            <w:div w:id="521091880">
              <w:marLeft w:val="0"/>
              <w:marRight w:val="0"/>
              <w:marTop w:val="0"/>
              <w:marBottom w:val="0"/>
              <w:divBdr>
                <w:top w:val="none" w:sz="0" w:space="0" w:color="auto"/>
                <w:left w:val="none" w:sz="0" w:space="0" w:color="auto"/>
                <w:bottom w:val="none" w:sz="0" w:space="0" w:color="auto"/>
                <w:right w:val="none" w:sz="0" w:space="0" w:color="auto"/>
              </w:divBdr>
              <w:divsChild>
                <w:div w:id="155918746">
                  <w:marLeft w:val="0"/>
                  <w:marRight w:val="0"/>
                  <w:marTop w:val="0"/>
                  <w:marBottom w:val="0"/>
                  <w:divBdr>
                    <w:top w:val="none" w:sz="0" w:space="0" w:color="auto"/>
                    <w:left w:val="none" w:sz="0" w:space="0" w:color="auto"/>
                    <w:bottom w:val="none" w:sz="0" w:space="0" w:color="auto"/>
                    <w:right w:val="none" w:sz="0" w:space="0" w:color="auto"/>
                  </w:divBdr>
                  <w:divsChild>
                    <w:div w:id="136454944">
                      <w:marLeft w:val="0"/>
                      <w:marRight w:val="0"/>
                      <w:marTop w:val="0"/>
                      <w:marBottom w:val="0"/>
                      <w:divBdr>
                        <w:top w:val="none" w:sz="0" w:space="0" w:color="auto"/>
                        <w:left w:val="none" w:sz="0" w:space="0" w:color="auto"/>
                        <w:bottom w:val="none" w:sz="0" w:space="0" w:color="auto"/>
                        <w:right w:val="none" w:sz="0" w:space="0" w:color="auto"/>
                      </w:divBdr>
                      <w:divsChild>
                        <w:div w:id="1011639533">
                          <w:marLeft w:val="0"/>
                          <w:marRight w:val="0"/>
                          <w:marTop w:val="0"/>
                          <w:marBottom w:val="0"/>
                          <w:divBdr>
                            <w:top w:val="none" w:sz="0" w:space="0" w:color="auto"/>
                            <w:left w:val="none" w:sz="0" w:space="0" w:color="auto"/>
                            <w:bottom w:val="none" w:sz="0" w:space="0" w:color="auto"/>
                            <w:right w:val="none" w:sz="0" w:space="0" w:color="auto"/>
                          </w:divBdr>
                          <w:divsChild>
                            <w:div w:id="1790314618">
                              <w:marLeft w:val="0"/>
                              <w:marRight w:val="0"/>
                              <w:marTop w:val="0"/>
                              <w:marBottom w:val="0"/>
                              <w:divBdr>
                                <w:top w:val="none" w:sz="0" w:space="0" w:color="auto"/>
                                <w:left w:val="none" w:sz="0" w:space="0" w:color="auto"/>
                                <w:bottom w:val="none" w:sz="0" w:space="0" w:color="auto"/>
                                <w:right w:val="none" w:sz="0" w:space="0" w:color="auto"/>
                              </w:divBdr>
                              <w:divsChild>
                                <w:div w:id="2068451475">
                                  <w:marLeft w:val="0"/>
                                  <w:marRight w:val="0"/>
                                  <w:marTop w:val="0"/>
                                  <w:marBottom w:val="0"/>
                                  <w:divBdr>
                                    <w:top w:val="none" w:sz="0" w:space="0" w:color="auto"/>
                                    <w:left w:val="none" w:sz="0" w:space="0" w:color="auto"/>
                                    <w:bottom w:val="none" w:sz="0" w:space="0" w:color="auto"/>
                                    <w:right w:val="none" w:sz="0" w:space="0" w:color="auto"/>
                                  </w:divBdr>
                                  <w:divsChild>
                                    <w:div w:id="111745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0034850">
      <w:bodyDiv w:val="1"/>
      <w:marLeft w:val="0"/>
      <w:marRight w:val="0"/>
      <w:marTop w:val="0"/>
      <w:marBottom w:val="0"/>
      <w:divBdr>
        <w:top w:val="none" w:sz="0" w:space="0" w:color="auto"/>
        <w:left w:val="none" w:sz="0" w:space="0" w:color="auto"/>
        <w:bottom w:val="none" w:sz="0" w:space="0" w:color="auto"/>
        <w:right w:val="none" w:sz="0" w:space="0" w:color="auto"/>
      </w:divBdr>
    </w:div>
    <w:div w:id="912008532">
      <w:bodyDiv w:val="1"/>
      <w:marLeft w:val="0"/>
      <w:marRight w:val="0"/>
      <w:marTop w:val="0"/>
      <w:marBottom w:val="0"/>
      <w:divBdr>
        <w:top w:val="none" w:sz="0" w:space="0" w:color="auto"/>
        <w:left w:val="none" w:sz="0" w:space="0" w:color="auto"/>
        <w:bottom w:val="none" w:sz="0" w:space="0" w:color="auto"/>
        <w:right w:val="none" w:sz="0" w:space="0" w:color="auto"/>
      </w:divBdr>
      <w:divsChild>
        <w:div w:id="929578834">
          <w:marLeft w:val="0"/>
          <w:marRight w:val="0"/>
          <w:marTop w:val="0"/>
          <w:marBottom w:val="0"/>
          <w:divBdr>
            <w:top w:val="none" w:sz="0" w:space="0" w:color="auto"/>
            <w:left w:val="none" w:sz="0" w:space="0" w:color="auto"/>
            <w:bottom w:val="none" w:sz="0" w:space="0" w:color="auto"/>
            <w:right w:val="none" w:sz="0" w:space="0" w:color="auto"/>
          </w:divBdr>
          <w:divsChild>
            <w:div w:id="192693481">
              <w:marLeft w:val="0"/>
              <w:marRight w:val="0"/>
              <w:marTop w:val="0"/>
              <w:marBottom w:val="0"/>
              <w:divBdr>
                <w:top w:val="none" w:sz="0" w:space="0" w:color="auto"/>
                <w:left w:val="none" w:sz="0" w:space="0" w:color="auto"/>
                <w:bottom w:val="none" w:sz="0" w:space="0" w:color="auto"/>
                <w:right w:val="none" w:sz="0" w:space="0" w:color="auto"/>
              </w:divBdr>
              <w:divsChild>
                <w:div w:id="1657223999">
                  <w:marLeft w:val="0"/>
                  <w:marRight w:val="0"/>
                  <w:marTop w:val="0"/>
                  <w:marBottom w:val="0"/>
                  <w:divBdr>
                    <w:top w:val="none" w:sz="0" w:space="0" w:color="auto"/>
                    <w:left w:val="none" w:sz="0" w:space="0" w:color="auto"/>
                    <w:bottom w:val="none" w:sz="0" w:space="0" w:color="auto"/>
                    <w:right w:val="none" w:sz="0" w:space="0" w:color="auto"/>
                  </w:divBdr>
                  <w:divsChild>
                    <w:div w:id="1781610546">
                      <w:marLeft w:val="0"/>
                      <w:marRight w:val="0"/>
                      <w:marTop w:val="0"/>
                      <w:marBottom w:val="0"/>
                      <w:divBdr>
                        <w:top w:val="none" w:sz="0" w:space="0" w:color="auto"/>
                        <w:left w:val="none" w:sz="0" w:space="0" w:color="auto"/>
                        <w:bottom w:val="none" w:sz="0" w:space="0" w:color="auto"/>
                        <w:right w:val="none" w:sz="0" w:space="0" w:color="auto"/>
                      </w:divBdr>
                      <w:divsChild>
                        <w:div w:id="224994930">
                          <w:marLeft w:val="0"/>
                          <w:marRight w:val="0"/>
                          <w:marTop w:val="0"/>
                          <w:marBottom w:val="0"/>
                          <w:divBdr>
                            <w:top w:val="none" w:sz="0" w:space="0" w:color="auto"/>
                            <w:left w:val="none" w:sz="0" w:space="0" w:color="auto"/>
                            <w:bottom w:val="none" w:sz="0" w:space="0" w:color="auto"/>
                            <w:right w:val="none" w:sz="0" w:space="0" w:color="auto"/>
                          </w:divBdr>
                          <w:divsChild>
                            <w:div w:id="1352224714">
                              <w:marLeft w:val="0"/>
                              <w:marRight w:val="0"/>
                              <w:marTop w:val="0"/>
                              <w:marBottom w:val="0"/>
                              <w:divBdr>
                                <w:top w:val="none" w:sz="0" w:space="0" w:color="auto"/>
                                <w:left w:val="none" w:sz="0" w:space="0" w:color="auto"/>
                                <w:bottom w:val="none" w:sz="0" w:space="0" w:color="auto"/>
                                <w:right w:val="none" w:sz="0" w:space="0" w:color="auto"/>
                              </w:divBdr>
                              <w:divsChild>
                                <w:div w:id="1349798155">
                                  <w:marLeft w:val="0"/>
                                  <w:marRight w:val="0"/>
                                  <w:marTop w:val="0"/>
                                  <w:marBottom w:val="0"/>
                                  <w:divBdr>
                                    <w:top w:val="none" w:sz="0" w:space="0" w:color="auto"/>
                                    <w:left w:val="none" w:sz="0" w:space="0" w:color="auto"/>
                                    <w:bottom w:val="none" w:sz="0" w:space="0" w:color="auto"/>
                                    <w:right w:val="none" w:sz="0" w:space="0" w:color="auto"/>
                                  </w:divBdr>
                                  <w:divsChild>
                                    <w:div w:id="134725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3024548">
      <w:bodyDiv w:val="1"/>
      <w:marLeft w:val="0"/>
      <w:marRight w:val="0"/>
      <w:marTop w:val="0"/>
      <w:marBottom w:val="0"/>
      <w:divBdr>
        <w:top w:val="none" w:sz="0" w:space="0" w:color="auto"/>
        <w:left w:val="none" w:sz="0" w:space="0" w:color="auto"/>
        <w:bottom w:val="none" w:sz="0" w:space="0" w:color="auto"/>
        <w:right w:val="none" w:sz="0" w:space="0" w:color="auto"/>
      </w:divBdr>
    </w:div>
    <w:div w:id="979916271">
      <w:bodyDiv w:val="1"/>
      <w:marLeft w:val="0"/>
      <w:marRight w:val="0"/>
      <w:marTop w:val="0"/>
      <w:marBottom w:val="0"/>
      <w:divBdr>
        <w:top w:val="none" w:sz="0" w:space="0" w:color="auto"/>
        <w:left w:val="none" w:sz="0" w:space="0" w:color="auto"/>
        <w:bottom w:val="none" w:sz="0" w:space="0" w:color="auto"/>
        <w:right w:val="none" w:sz="0" w:space="0" w:color="auto"/>
      </w:divBdr>
    </w:div>
    <w:div w:id="1011028241">
      <w:bodyDiv w:val="1"/>
      <w:marLeft w:val="0"/>
      <w:marRight w:val="0"/>
      <w:marTop w:val="0"/>
      <w:marBottom w:val="0"/>
      <w:divBdr>
        <w:top w:val="none" w:sz="0" w:space="0" w:color="auto"/>
        <w:left w:val="none" w:sz="0" w:space="0" w:color="auto"/>
        <w:bottom w:val="none" w:sz="0" w:space="0" w:color="auto"/>
        <w:right w:val="none" w:sz="0" w:space="0" w:color="auto"/>
      </w:divBdr>
    </w:div>
    <w:div w:id="1148480109">
      <w:bodyDiv w:val="1"/>
      <w:marLeft w:val="0"/>
      <w:marRight w:val="0"/>
      <w:marTop w:val="0"/>
      <w:marBottom w:val="0"/>
      <w:divBdr>
        <w:top w:val="none" w:sz="0" w:space="0" w:color="auto"/>
        <w:left w:val="none" w:sz="0" w:space="0" w:color="auto"/>
        <w:bottom w:val="none" w:sz="0" w:space="0" w:color="auto"/>
        <w:right w:val="none" w:sz="0" w:space="0" w:color="auto"/>
      </w:divBdr>
    </w:div>
    <w:div w:id="1168599961">
      <w:bodyDiv w:val="1"/>
      <w:marLeft w:val="0"/>
      <w:marRight w:val="0"/>
      <w:marTop w:val="0"/>
      <w:marBottom w:val="0"/>
      <w:divBdr>
        <w:top w:val="none" w:sz="0" w:space="0" w:color="auto"/>
        <w:left w:val="none" w:sz="0" w:space="0" w:color="auto"/>
        <w:bottom w:val="none" w:sz="0" w:space="0" w:color="auto"/>
        <w:right w:val="none" w:sz="0" w:space="0" w:color="auto"/>
      </w:divBdr>
    </w:div>
    <w:div w:id="1181435835">
      <w:bodyDiv w:val="1"/>
      <w:marLeft w:val="0"/>
      <w:marRight w:val="0"/>
      <w:marTop w:val="0"/>
      <w:marBottom w:val="0"/>
      <w:divBdr>
        <w:top w:val="none" w:sz="0" w:space="0" w:color="auto"/>
        <w:left w:val="none" w:sz="0" w:space="0" w:color="auto"/>
        <w:bottom w:val="none" w:sz="0" w:space="0" w:color="auto"/>
        <w:right w:val="none" w:sz="0" w:space="0" w:color="auto"/>
      </w:divBdr>
    </w:div>
    <w:div w:id="1209877088">
      <w:bodyDiv w:val="1"/>
      <w:marLeft w:val="0"/>
      <w:marRight w:val="0"/>
      <w:marTop w:val="0"/>
      <w:marBottom w:val="0"/>
      <w:divBdr>
        <w:top w:val="none" w:sz="0" w:space="0" w:color="auto"/>
        <w:left w:val="none" w:sz="0" w:space="0" w:color="auto"/>
        <w:bottom w:val="none" w:sz="0" w:space="0" w:color="auto"/>
        <w:right w:val="none" w:sz="0" w:space="0" w:color="auto"/>
      </w:divBdr>
    </w:div>
    <w:div w:id="1217545920">
      <w:bodyDiv w:val="1"/>
      <w:marLeft w:val="0"/>
      <w:marRight w:val="0"/>
      <w:marTop w:val="0"/>
      <w:marBottom w:val="0"/>
      <w:divBdr>
        <w:top w:val="none" w:sz="0" w:space="0" w:color="auto"/>
        <w:left w:val="none" w:sz="0" w:space="0" w:color="auto"/>
        <w:bottom w:val="none" w:sz="0" w:space="0" w:color="auto"/>
        <w:right w:val="none" w:sz="0" w:space="0" w:color="auto"/>
      </w:divBdr>
    </w:div>
    <w:div w:id="1381631815">
      <w:bodyDiv w:val="1"/>
      <w:marLeft w:val="0"/>
      <w:marRight w:val="0"/>
      <w:marTop w:val="0"/>
      <w:marBottom w:val="0"/>
      <w:divBdr>
        <w:top w:val="none" w:sz="0" w:space="0" w:color="auto"/>
        <w:left w:val="none" w:sz="0" w:space="0" w:color="auto"/>
        <w:bottom w:val="none" w:sz="0" w:space="0" w:color="auto"/>
        <w:right w:val="none" w:sz="0" w:space="0" w:color="auto"/>
      </w:divBdr>
    </w:div>
    <w:div w:id="1392270170">
      <w:bodyDiv w:val="1"/>
      <w:marLeft w:val="0"/>
      <w:marRight w:val="0"/>
      <w:marTop w:val="0"/>
      <w:marBottom w:val="0"/>
      <w:divBdr>
        <w:top w:val="none" w:sz="0" w:space="0" w:color="auto"/>
        <w:left w:val="none" w:sz="0" w:space="0" w:color="auto"/>
        <w:bottom w:val="none" w:sz="0" w:space="0" w:color="auto"/>
        <w:right w:val="none" w:sz="0" w:space="0" w:color="auto"/>
      </w:divBdr>
    </w:div>
    <w:div w:id="1464226425">
      <w:bodyDiv w:val="1"/>
      <w:marLeft w:val="0"/>
      <w:marRight w:val="0"/>
      <w:marTop w:val="0"/>
      <w:marBottom w:val="0"/>
      <w:divBdr>
        <w:top w:val="none" w:sz="0" w:space="0" w:color="auto"/>
        <w:left w:val="none" w:sz="0" w:space="0" w:color="auto"/>
        <w:bottom w:val="none" w:sz="0" w:space="0" w:color="auto"/>
        <w:right w:val="none" w:sz="0" w:space="0" w:color="auto"/>
      </w:divBdr>
    </w:div>
    <w:div w:id="1554584638">
      <w:bodyDiv w:val="1"/>
      <w:marLeft w:val="0"/>
      <w:marRight w:val="0"/>
      <w:marTop w:val="0"/>
      <w:marBottom w:val="0"/>
      <w:divBdr>
        <w:top w:val="none" w:sz="0" w:space="0" w:color="auto"/>
        <w:left w:val="none" w:sz="0" w:space="0" w:color="auto"/>
        <w:bottom w:val="none" w:sz="0" w:space="0" w:color="auto"/>
        <w:right w:val="none" w:sz="0" w:space="0" w:color="auto"/>
      </w:divBdr>
    </w:div>
    <w:div w:id="1717116484">
      <w:bodyDiv w:val="1"/>
      <w:marLeft w:val="0"/>
      <w:marRight w:val="0"/>
      <w:marTop w:val="0"/>
      <w:marBottom w:val="0"/>
      <w:divBdr>
        <w:top w:val="none" w:sz="0" w:space="0" w:color="auto"/>
        <w:left w:val="none" w:sz="0" w:space="0" w:color="auto"/>
        <w:bottom w:val="none" w:sz="0" w:space="0" w:color="auto"/>
        <w:right w:val="none" w:sz="0" w:space="0" w:color="auto"/>
      </w:divBdr>
    </w:div>
    <w:div w:id="1833449033">
      <w:bodyDiv w:val="1"/>
      <w:marLeft w:val="0"/>
      <w:marRight w:val="0"/>
      <w:marTop w:val="0"/>
      <w:marBottom w:val="0"/>
      <w:divBdr>
        <w:top w:val="none" w:sz="0" w:space="0" w:color="auto"/>
        <w:left w:val="none" w:sz="0" w:space="0" w:color="auto"/>
        <w:bottom w:val="none" w:sz="0" w:space="0" w:color="auto"/>
        <w:right w:val="none" w:sz="0" w:space="0" w:color="auto"/>
      </w:divBdr>
    </w:div>
    <w:div w:id="1847010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s://jurnaldidaktika.org"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doaj.org/toc/2302-4518"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hyperlink" Target="https://ejournal.edupulse.id/index.php/gjet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Dw4oyindYp8wGflI3jC9cHHVkQ==">CgMxLjA4AHIhMVlKUTg5dFdhaVdiMk5tM1J2YWU3UUtIclRrN095cU9P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2943</Words>
  <Characters>16778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Reviewer 1</dc:creator>
  <cp:lastModifiedBy>USER</cp:lastModifiedBy>
  <cp:revision>2</cp:revision>
  <cp:lastPrinted>2026-03-14T03:57:00Z</cp:lastPrinted>
  <dcterms:created xsi:type="dcterms:W3CDTF">2026-05-25T17:15:00Z</dcterms:created>
  <dcterms:modified xsi:type="dcterms:W3CDTF">2026-05-25T17:15:00Z</dcterms:modified>
</cp:coreProperties>
</file>